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96" w:rsidRPr="009A6220" w:rsidRDefault="00B82F96" w:rsidP="009A39DA">
      <w:pPr>
        <w:jc w:val="center"/>
        <w:rPr>
          <w:rFonts w:cs="Arial"/>
          <w:sz w:val="2"/>
          <w:szCs w:val="2"/>
        </w:rPr>
      </w:pPr>
    </w:p>
    <w:p w:rsidR="006403EB" w:rsidRPr="006403EB" w:rsidRDefault="006403EB" w:rsidP="006403EB">
      <w:pPr>
        <w:jc w:val="center"/>
        <w:rPr>
          <w:rFonts w:cs="Arial"/>
          <w:sz w:val="32"/>
          <w:lang w:val="fr-FR"/>
        </w:rPr>
      </w:pPr>
      <w:r w:rsidRPr="006403EB">
        <w:rPr>
          <w:rFonts w:cs="Arial"/>
          <w:sz w:val="32"/>
          <w:lang w:val="fr-FR"/>
        </w:rPr>
        <w:t>Commentaires de l'UEAPME et de l'AECM concernant la conception et la mise en œuvre des instrumen</w:t>
      </w:r>
      <w:r w:rsidR="007B542E">
        <w:rPr>
          <w:rFonts w:cs="Arial"/>
          <w:sz w:val="32"/>
          <w:lang w:val="fr-FR"/>
        </w:rPr>
        <w:t>ts financiers de l'UE - demande conjointe</w:t>
      </w:r>
      <w:r w:rsidRPr="006403EB">
        <w:rPr>
          <w:rFonts w:cs="Arial"/>
          <w:sz w:val="32"/>
          <w:lang w:val="fr-FR"/>
        </w:rPr>
        <w:t xml:space="preserve"> pour l'examen à mi-parcours de l'UE</w:t>
      </w:r>
    </w:p>
    <w:p w:rsidR="00B82F96" w:rsidRPr="007B01EE" w:rsidRDefault="00B82F96" w:rsidP="00EB2286">
      <w:pPr>
        <w:spacing w:after="120" w:line="360" w:lineRule="auto"/>
        <w:ind w:right="-147"/>
        <w:jc w:val="both"/>
        <w:rPr>
          <w:rFonts w:cs="Arial"/>
          <w:bCs/>
          <w:sz w:val="2"/>
          <w:szCs w:val="2"/>
          <w:lang w:val="fr-FR"/>
        </w:rPr>
      </w:pPr>
    </w:p>
    <w:p w:rsidR="004264DB" w:rsidRPr="00F06416" w:rsidRDefault="004264DB" w:rsidP="0089113D">
      <w:pPr>
        <w:jc w:val="both"/>
        <w:rPr>
          <w:b/>
          <w:sz w:val="24"/>
          <w:szCs w:val="24"/>
          <w:lang w:val="fr-FR"/>
        </w:rPr>
      </w:pPr>
      <w:r w:rsidRPr="00F06416">
        <w:rPr>
          <w:b/>
          <w:sz w:val="24"/>
          <w:szCs w:val="24"/>
          <w:lang w:val="fr-FR"/>
        </w:rPr>
        <w:t xml:space="preserve">A / </w:t>
      </w:r>
      <w:r w:rsidR="007B542E" w:rsidRPr="00F06416">
        <w:rPr>
          <w:b/>
          <w:sz w:val="24"/>
          <w:szCs w:val="24"/>
          <w:lang w:val="fr-FR"/>
        </w:rPr>
        <w:t>Remarques liminaires</w:t>
      </w:r>
      <w:r w:rsidRPr="00F06416">
        <w:rPr>
          <w:b/>
          <w:sz w:val="24"/>
          <w:szCs w:val="24"/>
          <w:lang w:val="fr-FR"/>
        </w:rPr>
        <w:t xml:space="preserve"> </w:t>
      </w:r>
    </w:p>
    <w:p w:rsidR="007B542E" w:rsidRPr="007B542E" w:rsidRDefault="007B542E" w:rsidP="007B542E">
      <w:pPr>
        <w:jc w:val="both"/>
        <w:rPr>
          <w:sz w:val="24"/>
          <w:szCs w:val="24"/>
          <w:lang w:val="fr-FR"/>
        </w:rPr>
      </w:pPr>
      <w:r w:rsidRPr="007B542E">
        <w:rPr>
          <w:sz w:val="24"/>
          <w:szCs w:val="24"/>
          <w:lang w:val="fr-FR"/>
        </w:rPr>
        <w:t>L'UEAPME est l'organisation patronale représentant l'artisanat, les métiers et les petites et moyennes entreprises (PME) de l'UE et des pays candidats à l'adhésion. L'UEAPME compte 65 organ</w:t>
      </w:r>
      <w:r w:rsidR="00C52BE0">
        <w:rPr>
          <w:sz w:val="24"/>
          <w:szCs w:val="24"/>
          <w:lang w:val="fr-FR"/>
        </w:rPr>
        <w:t>isations membres, représentant les métiers et l</w:t>
      </w:r>
      <w:r w:rsidRPr="007B542E">
        <w:rPr>
          <w:sz w:val="24"/>
          <w:szCs w:val="24"/>
          <w:lang w:val="fr-FR"/>
        </w:rPr>
        <w:t>es PME à travers l'Europe, couvrant plus de 12 millions d'entreprises avec 55 millions d'employés.</w:t>
      </w:r>
    </w:p>
    <w:p w:rsidR="007B542E" w:rsidRPr="007B542E" w:rsidRDefault="007B542E" w:rsidP="007B542E">
      <w:pPr>
        <w:jc w:val="both"/>
        <w:rPr>
          <w:sz w:val="24"/>
          <w:szCs w:val="24"/>
          <w:lang w:val="fr-FR"/>
        </w:rPr>
      </w:pPr>
      <w:r w:rsidRPr="007B542E">
        <w:rPr>
          <w:sz w:val="24"/>
          <w:szCs w:val="24"/>
          <w:lang w:val="fr-FR"/>
        </w:rPr>
        <w:t xml:space="preserve">Les 41 membres de l'AECM, qui sont des </w:t>
      </w:r>
      <w:r w:rsidR="00B565DD">
        <w:rPr>
          <w:sz w:val="24"/>
          <w:szCs w:val="24"/>
          <w:lang w:val="fr-FR"/>
        </w:rPr>
        <w:t>institutions</w:t>
      </w:r>
      <w:r w:rsidRPr="007B542E">
        <w:rPr>
          <w:sz w:val="24"/>
          <w:szCs w:val="24"/>
          <w:lang w:val="fr-FR"/>
        </w:rPr>
        <w:t xml:space="preserve"> de ga</w:t>
      </w:r>
      <w:r w:rsidR="00B565DD">
        <w:rPr>
          <w:sz w:val="24"/>
          <w:szCs w:val="24"/>
          <w:lang w:val="fr-FR"/>
        </w:rPr>
        <w:t>rantie mutuelle / privée, publique</w:t>
      </w:r>
      <w:r w:rsidRPr="007B542E">
        <w:rPr>
          <w:sz w:val="24"/>
          <w:szCs w:val="24"/>
          <w:lang w:val="fr-FR"/>
        </w:rPr>
        <w:t xml:space="preserve"> ou mixte, ont tous en commun la mission d'aider les PME à accéder au financement en leur fournissant des garanties </w:t>
      </w:r>
      <w:r w:rsidR="00B565DD">
        <w:rPr>
          <w:sz w:val="24"/>
          <w:szCs w:val="24"/>
          <w:lang w:val="fr-FR"/>
        </w:rPr>
        <w:t>pour</w:t>
      </w:r>
      <w:r w:rsidRPr="007B542E">
        <w:rPr>
          <w:sz w:val="24"/>
          <w:szCs w:val="24"/>
          <w:lang w:val="fr-FR"/>
        </w:rPr>
        <w:t xml:space="preserve"> u</w:t>
      </w:r>
      <w:r w:rsidR="009A461F">
        <w:rPr>
          <w:sz w:val="24"/>
          <w:szCs w:val="24"/>
          <w:lang w:val="fr-FR"/>
        </w:rPr>
        <w:t xml:space="preserve">n projet économiquement solide mais ne disposant pas de </w:t>
      </w:r>
      <w:r w:rsidR="00E033AD">
        <w:rPr>
          <w:sz w:val="24"/>
          <w:szCs w:val="24"/>
          <w:lang w:val="fr-FR"/>
        </w:rPr>
        <w:t>garanties suffisantes</w:t>
      </w:r>
      <w:r w:rsidRPr="007B542E">
        <w:rPr>
          <w:sz w:val="24"/>
          <w:szCs w:val="24"/>
          <w:lang w:val="fr-FR"/>
        </w:rPr>
        <w:t>. Les membres de l'AECM, qui vers la fin de 2015 avaient environ 81 milliards d'euros de volume de</w:t>
      </w:r>
      <w:r w:rsidR="00B12983">
        <w:rPr>
          <w:sz w:val="24"/>
          <w:szCs w:val="24"/>
          <w:lang w:val="fr-FR"/>
        </w:rPr>
        <w:t xml:space="preserve"> garanties en circulation, reçoive</w:t>
      </w:r>
      <w:r w:rsidR="00B12983" w:rsidRPr="007B542E">
        <w:rPr>
          <w:sz w:val="24"/>
          <w:szCs w:val="24"/>
          <w:lang w:val="fr-FR"/>
        </w:rPr>
        <w:t>nt</w:t>
      </w:r>
      <w:r w:rsidRPr="007B542E">
        <w:rPr>
          <w:sz w:val="24"/>
          <w:szCs w:val="24"/>
          <w:lang w:val="fr-FR"/>
        </w:rPr>
        <w:t xml:space="preserve"> à leur tour une contre-garantie de niveau régional, national et européen.</w:t>
      </w:r>
    </w:p>
    <w:p w:rsidR="007B542E" w:rsidRPr="007B542E" w:rsidRDefault="00F81AA5" w:rsidP="007B542E">
      <w:pPr>
        <w:jc w:val="both"/>
        <w:rPr>
          <w:sz w:val="24"/>
          <w:szCs w:val="24"/>
          <w:lang w:val="fr-FR"/>
        </w:rPr>
      </w:pPr>
      <w:r>
        <w:rPr>
          <w:sz w:val="24"/>
          <w:szCs w:val="24"/>
          <w:lang w:val="fr-FR"/>
        </w:rPr>
        <w:t>D</w:t>
      </w:r>
      <w:r w:rsidR="007B542E" w:rsidRPr="007B542E">
        <w:rPr>
          <w:sz w:val="24"/>
          <w:szCs w:val="24"/>
          <w:lang w:val="fr-FR"/>
        </w:rPr>
        <w:t>e nombreux membre</w:t>
      </w:r>
      <w:r w:rsidR="00580A99">
        <w:rPr>
          <w:sz w:val="24"/>
          <w:szCs w:val="24"/>
          <w:lang w:val="fr-FR"/>
        </w:rPr>
        <w:t xml:space="preserve">s de l'AECM utilisent </w:t>
      </w:r>
      <w:r>
        <w:rPr>
          <w:sz w:val="24"/>
          <w:szCs w:val="24"/>
          <w:lang w:val="fr-FR"/>
        </w:rPr>
        <w:t xml:space="preserve">depuis le début 1998 </w:t>
      </w:r>
      <w:r w:rsidR="007B542E" w:rsidRPr="007B542E">
        <w:rPr>
          <w:sz w:val="24"/>
          <w:szCs w:val="24"/>
          <w:lang w:val="fr-FR"/>
        </w:rPr>
        <w:t>des instruments financiers de l'UE, conçus par la Commission européenne et gérés par le Fonds européen d'investissement (FEI). Plus de 50% du mécanisme de garantie PME dans le cadre des programm</w:t>
      </w:r>
      <w:r w:rsidR="00A7333E">
        <w:rPr>
          <w:sz w:val="24"/>
          <w:szCs w:val="24"/>
          <w:lang w:val="fr-FR"/>
        </w:rPr>
        <w:t>es de l’UEAPME,</w:t>
      </w:r>
      <w:r w:rsidR="007B542E" w:rsidRPr="007B542E">
        <w:rPr>
          <w:sz w:val="24"/>
          <w:szCs w:val="24"/>
          <w:lang w:val="fr-FR"/>
        </w:rPr>
        <w:t xml:space="preserve"> CI</w:t>
      </w:r>
      <w:r>
        <w:rPr>
          <w:sz w:val="24"/>
          <w:szCs w:val="24"/>
          <w:lang w:val="fr-FR"/>
        </w:rPr>
        <w:t>P et COSME étaient acheminés par</w:t>
      </w:r>
      <w:r w:rsidR="007B542E" w:rsidRPr="007B542E">
        <w:rPr>
          <w:sz w:val="24"/>
          <w:szCs w:val="24"/>
          <w:lang w:val="fr-FR"/>
        </w:rPr>
        <w:t xml:space="preserve"> les membres de l'AECM.</w:t>
      </w:r>
    </w:p>
    <w:p w:rsidR="00BA7832" w:rsidRPr="003C4296" w:rsidRDefault="00BA7832" w:rsidP="0089113D">
      <w:pPr>
        <w:jc w:val="both"/>
        <w:rPr>
          <w:b/>
          <w:sz w:val="24"/>
          <w:szCs w:val="24"/>
          <w:lang w:val="fr-FR"/>
        </w:rPr>
      </w:pPr>
      <w:r w:rsidRPr="003C4296">
        <w:rPr>
          <w:b/>
          <w:sz w:val="24"/>
          <w:szCs w:val="24"/>
          <w:lang w:val="fr-FR"/>
        </w:rPr>
        <w:t xml:space="preserve">B / </w:t>
      </w:r>
      <w:r w:rsidR="003C4296" w:rsidRPr="003C4296">
        <w:rPr>
          <w:b/>
          <w:sz w:val="24"/>
          <w:szCs w:val="24"/>
          <w:lang w:val="fr-FR"/>
        </w:rPr>
        <w:t>Commentaires</w:t>
      </w:r>
    </w:p>
    <w:p w:rsidR="007B542E" w:rsidRPr="007B542E" w:rsidRDefault="003C4296" w:rsidP="007B542E">
      <w:pPr>
        <w:jc w:val="both"/>
        <w:rPr>
          <w:sz w:val="24"/>
          <w:szCs w:val="24"/>
          <w:lang w:val="fr-FR"/>
        </w:rPr>
      </w:pPr>
      <w:r>
        <w:rPr>
          <w:sz w:val="24"/>
          <w:szCs w:val="24"/>
          <w:lang w:val="fr-FR"/>
        </w:rPr>
        <w:t>Sur base de leur</w:t>
      </w:r>
      <w:r w:rsidR="007B542E" w:rsidRPr="007B542E">
        <w:rPr>
          <w:sz w:val="24"/>
          <w:szCs w:val="24"/>
          <w:lang w:val="fr-FR"/>
        </w:rPr>
        <w:t xml:space="preserve"> longue expérience en tant qu'intermédiaire</w:t>
      </w:r>
      <w:r>
        <w:rPr>
          <w:sz w:val="24"/>
          <w:szCs w:val="24"/>
          <w:lang w:val="fr-FR"/>
        </w:rPr>
        <w:t>s</w:t>
      </w:r>
      <w:r w:rsidR="007B542E" w:rsidRPr="007B542E">
        <w:rPr>
          <w:sz w:val="24"/>
          <w:szCs w:val="24"/>
          <w:lang w:val="fr-FR"/>
        </w:rPr>
        <w:t xml:space="preserve"> financier</w:t>
      </w:r>
      <w:r>
        <w:rPr>
          <w:sz w:val="24"/>
          <w:szCs w:val="24"/>
          <w:lang w:val="fr-FR"/>
        </w:rPr>
        <w:t xml:space="preserve">s et </w:t>
      </w:r>
      <w:r w:rsidR="007B542E" w:rsidRPr="007B542E">
        <w:rPr>
          <w:sz w:val="24"/>
          <w:szCs w:val="24"/>
          <w:lang w:val="fr-FR"/>
        </w:rPr>
        <w:t xml:space="preserve">tenant compte du groupe cible des instruments </w:t>
      </w:r>
      <w:r>
        <w:rPr>
          <w:sz w:val="24"/>
          <w:szCs w:val="24"/>
          <w:lang w:val="fr-FR"/>
        </w:rPr>
        <w:t>financiers de l'UE, notamment</w:t>
      </w:r>
      <w:r w:rsidR="00EA4A9B">
        <w:rPr>
          <w:sz w:val="24"/>
          <w:szCs w:val="24"/>
          <w:lang w:val="fr-FR"/>
        </w:rPr>
        <w:t xml:space="preserve"> d</w:t>
      </w:r>
      <w:r w:rsidR="007B542E" w:rsidRPr="007B542E">
        <w:rPr>
          <w:sz w:val="24"/>
          <w:szCs w:val="24"/>
          <w:lang w:val="fr-FR"/>
        </w:rPr>
        <w:t xml:space="preserve">es PME, l'UEAPME et l'AECM souhaitent soumettre les demandes suivantes </w:t>
      </w:r>
      <w:r w:rsidR="009C1DAA">
        <w:rPr>
          <w:sz w:val="24"/>
          <w:szCs w:val="24"/>
          <w:lang w:val="fr-FR"/>
        </w:rPr>
        <w:t>en tant que c</w:t>
      </w:r>
      <w:r w:rsidR="007B542E" w:rsidRPr="007B542E">
        <w:rPr>
          <w:sz w:val="24"/>
          <w:szCs w:val="24"/>
          <w:lang w:val="fr-FR"/>
        </w:rPr>
        <w:t>ontribution à l'examen à mi-</w:t>
      </w:r>
      <w:r w:rsidR="009C1DAA">
        <w:rPr>
          <w:sz w:val="24"/>
          <w:szCs w:val="24"/>
          <w:lang w:val="fr-FR"/>
        </w:rPr>
        <w:t>parcours de l’UE.</w:t>
      </w:r>
    </w:p>
    <w:p w:rsidR="007B542E" w:rsidRPr="00EA4A9B" w:rsidRDefault="007B542E" w:rsidP="007B542E">
      <w:pPr>
        <w:jc w:val="both"/>
        <w:rPr>
          <w:b/>
          <w:sz w:val="24"/>
          <w:szCs w:val="24"/>
          <w:lang w:val="fr-FR"/>
        </w:rPr>
      </w:pPr>
      <w:r w:rsidRPr="00EA4A9B">
        <w:rPr>
          <w:b/>
          <w:sz w:val="24"/>
          <w:szCs w:val="24"/>
          <w:lang w:val="fr-FR"/>
        </w:rPr>
        <w:t xml:space="preserve">• </w:t>
      </w:r>
      <w:r w:rsidR="00EA4A9B" w:rsidRPr="00EA4A9B">
        <w:rPr>
          <w:b/>
          <w:sz w:val="24"/>
          <w:szCs w:val="24"/>
          <w:lang w:val="fr-FR"/>
        </w:rPr>
        <w:t>établir l</w:t>
      </w:r>
      <w:r w:rsidRPr="00EA4A9B">
        <w:rPr>
          <w:b/>
          <w:sz w:val="24"/>
          <w:szCs w:val="24"/>
          <w:lang w:val="fr-FR"/>
        </w:rPr>
        <w:t xml:space="preserve">es garanties </w:t>
      </w:r>
      <w:r w:rsidR="009E6058" w:rsidRPr="00EA4A9B">
        <w:rPr>
          <w:b/>
          <w:sz w:val="24"/>
          <w:szCs w:val="24"/>
          <w:lang w:val="fr-FR"/>
        </w:rPr>
        <w:t xml:space="preserve">comme </w:t>
      </w:r>
      <w:r w:rsidRPr="00EA4A9B">
        <w:rPr>
          <w:b/>
          <w:sz w:val="24"/>
          <w:szCs w:val="24"/>
          <w:lang w:val="fr-FR"/>
        </w:rPr>
        <w:t>instrument</w:t>
      </w:r>
      <w:r w:rsidR="00EA4A9B">
        <w:rPr>
          <w:b/>
          <w:sz w:val="24"/>
          <w:szCs w:val="24"/>
          <w:lang w:val="fr-FR"/>
        </w:rPr>
        <w:t>s</w:t>
      </w:r>
      <w:r w:rsidR="00EA4A9B" w:rsidRPr="00EA4A9B">
        <w:rPr>
          <w:b/>
          <w:sz w:val="24"/>
          <w:szCs w:val="24"/>
          <w:lang w:val="fr-FR"/>
        </w:rPr>
        <w:t xml:space="preserve"> financier</w:t>
      </w:r>
      <w:r w:rsidR="00EA4A9B">
        <w:rPr>
          <w:b/>
          <w:sz w:val="24"/>
          <w:szCs w:val="24"/>
          <w:lang w:val="fr-FR"/>
        </w:rPr>
        <w:t>s</w:t>
      </w:r>
      <w:r w:rsidRPr="00EA4A9B">
        <w:rPr>
          <w:b/>
          <w:sz w:val="24"/>
          <w:szCs w:val="24"/>
          <w:lang w:val="fr-FR"/>
        </w:rPr>
        <w:t xml:space="preserve"> important</w:t>
      </w:r>
      <w:r w:rsidR="00EA4A9B">
        <w:rPr>
          <w:b/>
          <w:sz w:val="24"/>
          <w:szCs w:val="24"/>
          <w:lang w:val="fr-FR"/>
        </w:rPr>
        <w:t>s</w:t>
      </w:r>
      <w:r w:rsidRPr="00EA4A9B">
        <w:rPr>
          <w:b/>
          <w:sz w:val="24"/>
          <w:szCs w:val="24"/>
          <w:lang w:val="fr-FR"/>
        </w:rPr>
        <w:t xml:space="preserve"> pour favoriser l'innovation, la croissance et l'emploi</w:t>
      </w:r>
    </w:p>
    <w:p w:rsidR="007B542E" w:rsidRDefault="007B542E" w:rsidP="007B542E">
      <w:pPr>
        <w:jc w:val="both"/>
        <w:rPr>
          <w:sz w:val="24"/>
          <w:szCs w:val="24"/>
          <w:lang w:val="fr-FR"/>
        </w:rPr>
      </w:pPr>
      <w:r w:rsidRPr="007B542E">
        <w:rPr>
          <w:sz w:val="24"/>
          <w:szCs w:val="24"/>
          <w:lang w:val="fr-FR"/>
        </w:rPr>
        <w:t xml:space="preserve">Les garanties sont un outil </w:t>
      </w:r>
      <w:r w:rsidR="00776190">
        <w:rPr>
          <w:sz w:val="24"/>
          <w:szCs w:val="24"/>
          <w:lang w:val="fr-FR"/>
        </w:rPr>
        <w:t>important</w:t>
      </w:r>
      <w:r w:rsidRPr="007B542E">
        <w:rPr>
          <w:sz w:val="24"/>
          <w:szCs w:val="24"/>
          <w:lang w:val="fr-FR"/>
        </w:rPr>
        <w:t xml:space="preserve"> pour réduire le risque des prêteurs et favoriser </w:t>
      </w:r>
      <w:r w:rsidR="00E5745A">
        <w:rPr>
          <w:sz w:val="24"/>
          <w:szCs w:val="24"/>
          <w:lang w:val="fr-FR"/>
        </w:rPr>
        <w:t xml:space="preserve">le </w:t>
      </w:r>
      <w:r w:rsidRPr="007B542E">
        <w:rPr>
          <w:sz w:val="24"/>
          <w:szCs w:val="24"/>
          <w:lang w:val="fr-FR"/>
        </w:rPr>
        <w:t>financement aux entreprises qui sont contraintes dans leur accès au financement. Ainsi, grâce à des garanties, les PME ont accès à des financements pour des projets économiquement viables ou à de meilleures conditions. En conséquence, les programmes de garantie du crédit demeurent</w:t>
      </w:r>
      <w:r w:rsidR="00E5745A" w:rsidRPr="007B542E">
        <w:rPr>
          <w:sz w:val="24"/>
          <w:szCs w:val="24"/>
          <w:lang w:val="fr-FR"/>
        </w:rPr>
        <w:t xml:space="preserve"> « l’instrument</w:t>
      </w:r>
      <w:r w:rsidRPr="007B542E">
        <w:rPr>
          <w:sz w:val="24"/>
          <w:szCs w:val="24"/>
          <w:lang w:val="fr-FR"/>
        </w:rPr>
        <w:t xml:space="preserve"> le plus largement utilisé </w:t>
      </w:r>
      <w:r w:rsidR="00E5745A">
        <w:rPr>
          <w:sz w:val="24"/>
          <w:szCs w:val="24"/>
          <w:lang w:val="fr-FR"/>
        </w:rPr>
        <w:t>par les</w:t>
      </w:r>
      <w:r w:rsidRPr="007B542E">
        <w:rPr>
          <w:sz w:val="24"/>
          <w:szCs w:val="24"/>
          <w:lang w:val="fr-FR"/>
        </w:rPr>
        <w:t xml:space="preserve"> gouvernements pour faciliter l'accès des PME au financement</w:t>
      </w:r>
      <w:r w:rsidR="00E5745A">
        <w:rPr>
          <w:sz w:val="24"/>
          <w:szCs w:val="24"/>
          <w:lang w:val="fr-FR"/>
        </w:rPr>
        <w:t xml:space="preserve"> </w:t>
      </w:r>
      <w:r w:rsidRPr="007B542E">
        <w:rPr>
          <w:sz w:val="24"/>
          <w:szCs w:val="24"/>
          <w:lang w:val="fr-FR"/>
        </w:rPr>
        <w:t>» (OCDE, 2015b,</w:t>
      </w:r>
      <w:r w:rsidR="000311BF" w:rsidRPr="000311BF">
        <w:rPr>
          <w:sz w:val="24"/>
          <w:szCs w:val="24"/>
          <w:lang w:val="fr-FR"/>
        </w:rPr>
        <w:t xml:space="preserve"> </w:t>
      </w:r>
      <w:r w:rsidR="000311BF" w:rsidRPr="000311BF">
        <w:rPr>
          <w:i/>
          <w:sz w:val="24"/>
          <w:szCs w:val="24"/>
          <w:lang w:val="fr-FR"/>
        </w:rPr>
        <w:t>‘Financing SMEs and Entrepreneurs 2015. An OECD Scoreboard’</w:t>
      </w:r>
      <w:r w:rsidR="000311BF" w:rsidRPr="000311BF">
        <w:rPr>
          <w:sz w:val="24"/>
          <w:szCs w:val="24"/>
          <w:lang w:val="fr-FR"/>
        </w:rPr>
        <w:t>, OECD Publishing, Paris,</w:t>
      </w:r>
      <w:r w:rsidRPr="000311BF">
        <w:rPr>
          <w:sz w:val="24"/>
          <w:szCs w:val="24"/>
          <w:lang w:val="fr-FR"/>
        </w:rPr>
        <w:t xml:space="preserve"> voir également OCDE, 2015d, 2016b). </w:t>
      </w:r>
      <w:r w:rsidRPr="007B542E">
        <w:rPr>
          <w:sz w:val="24"/>
          <w:szCs w:val="24"/>
          <w:lang w:val="fr-FR"/>
        </w:rPr>
        <w:t>Ils ont considérablement augmenté au cours des années 2007-2011, les gouvernements ayan</w:t>
      </w:r>
      <w:r w:rsidR="00E5745A">
        <w:rPr>
          <w:sz w:val="24"/>
          <w:szCs w:val="24"/>
          <w:lang w:val="fr-FR"/>
        </w:rPr>
        <w:t>t réagi à la crise financière en</w:t>
      </w:r>
      <w:r w:rsidRPr="007B542E">
        <w:rPr>
          <w:sz w:val="24"/>
          <w:szCs w:val="24"/>
          <w:lang w:val="fr-FR"/>
        </w:rPr>
        <w:t xml:space="preserve"> «</w:t>
      </w:r>
      <w:r w:rsidR="00E5745A">
        <w:rPr>
          <w:sz w:val="24"/>
          <w:szCs w:val="24"/>
          <w:lang w:val="fr-FR"/>
        </w:rPr>
        <w:t xml:space="preserve"> </w:t>
      </w:r>
      <w:r w:rsidRPr="007B542E">
        <w:rPr>
          <w:sz w:val="24"/>
          <w:szCs w:val="24"/>
          <w:lang w:val="fr-FR"/>
        </w:rPr>
        <w:t>ciblant de plus en plus les entreprises jeunes et innovantes pour stimuler l'emploi et la valeur ajoutée</w:t>
      </w:r>
      <w:r w:rsidR="00E5745A">
        <w:rPr>
          <w:sz w:val="24"/>
          <w:szCs w:val="24"/>
          <w:lang w:val="fr-FR"/>
        </w:rPr>
        <w:t xml:space="preserve"> </w:t>
      </w:r>
      <w:r w:rsidRPr="007B542E">
        <w:rPr>
          <w:sz w:val="24"/>
          <w:szCs w:val="24"/>
          <w:lang w:val="fr-FR"/>
        </w:rPr>
        <w:t>» (OCDE, 2016b</w:t>
      </w:r>
      <w:r w:rsidR="000311BF">
        <w:rPr>
          <w:sz w:val="24"/>
          <w:szCs w:val="24"/>
          <w:lang w:val="fr-FR"/>
        </w:rPr>
        <w:t> ;</w:t>
      </w:r>
      <w:r w:rsidR="000311BF" w:rsidRPr="000311BF">
        <w:rPr>
          <w:sz w:val="24"/>
          <w:szCs w:val="24"/>
          <w:lang w:val="fr-FR"/>
        </w:rPr>
        <w:t xml:space="preserve"> </w:t>
      </w:r>
      <w:r w:rsidR="000311BF" w:rsidRPr="000311BF">
        <w:rPr>
          <w:i/>
          <w:sz w:val="24"/>
          <w:szCs w:val="24"/>
          <w:lang w:val="fr-FR"/>
        </w:rPr>
        <w:t>‘Financing SMEs and Entrepreneurs 2016. An OECD Scoreboard, April 2016’</w:t>
      </w:r>
      <w:r w:rsidRPr="007B542E">
        <w:rPr>
          <w:sz w:val="24"/>
          <w:szCs w:val="24"/>
          <w:lang w:val="fr-FR"/>
        </w:rPr>
        <w:t xml:space="preserve">). L'une des raisons est que les produits de garantie ont des effets macroéconomiques positifs, ce qui signifie que les coûts pour les contribuables </w:t>
      </w:r>
      <w:r w:rsidR="0089424D">
        <w:rPr>
          <w:sz w:val="24"/>
          <w:szCs w:val="24"/>
          <w:lang w:val="fr-FR"/>
        </w:rPr>
        <w:t xml:space="preserve">(ex : les </w:t>
      </w:r>
      <w:r w:rsidR="0089424D" w:rsidRPr="0089424D">
        <w:rPr>
          <w:sz w:val="24"/>
          <w:szCs w:val="24"/>
          <w:lang w:val="fr-FR"/>
        </w:rPr>
        <w:t>défaut</w:t>
      </w:r>
      <w:r w:rsidR="0089424D">
        <w:rPr>
          <w:sz w:val="24"/>
          <w:szCs w:val="24"/>
          <w:lang w:val="fr-FR"/>
        </w:rPr>
        <w:t>s de paiements)</w:t>
      </w:r>
      <w:r w:rsidR="0089424D" w:rsidRPr="0089424D">
        <w:rPr>
          <w:sz w:val="24"/>
          <w:szCs w:val="24"/>
          <w:lang w:val="fr-FR"/>
        </w:rPr>
        <w:t xml:space="preserve"> </w:t>
      </w:r>
      <w:r w:rsidRPr="007B542E">
        <w:rPr>
          <w:sz w:val="24"/>
          <w:szCs w:val="24"/>
          <w:lang w:val="fr-FR"/>
        </w:rPr>
        <w:t>sont compensés par les effets stimulants positifs des garanties - comme l'emploi et l'innovation - pour l'économie.</w:t>
      </w:r>
    </w:p>
    <w:p w:rsidR="009A6220" w:rsidRDefault="009A6220" w:rsidP="007B542E">
      <w:pPr>
        <w:jc w:val="both"/>
        <w:rPr>
          <w:sz w:val="24"/>
          <w:szCs w:val="24"/>
          <w:lang w:val="fr-FR"/>
        </w:rPr>
      </w:pPr>
    </w:p>
    <w:p w:rsidR="00565F35" w:rsidRPr="007B542E" w:rsidRDefault="00565F35" w:rsidP="007B542E">
      <w:pPr>
        <w:jc w:val="both"/>
        <w:rPr>
          <w:sz w:val="24"/>
          <w:szCs w:val="24"/>
          <w:lang w:val="fr-FR"/>
        </w:rPr>
      </w:pPr>
      <w:r w:rsidRPr="00565F35">
        <w:rPr>
          <w:sz w:val="24"/>
          <w:szCs w:val="24"/>
          <w:lang w:val="fr-FR"/>
        </w:rPr>
        <w:t xml:space="preserve">Les Institutions de Garantie </w:t>
      </w:r>
      <w:r>
        <w:rPr>
          <w:sz w:val="24"/>
          <w:szCs w:val="24"/>
          <w:lang w:val="fr-FR"/>
        </w:rPr>
        <w:t>pr</w:t>
      </w:r>
      <w:r w:rsidR="00FA2A6C">
        <w:rPr>
          <w:sz w:val="24"/>
          <w:szCs w:val="24"/>
          <w:lang w:val="fr-FR"/>
        </w:rPr>
        <w:t>ésentent</w:t>
      </w:r>
      <w:r w:rsidRPr="00565F35">
        <w:rPr>
          <w:sz w:val="24"/>
          <w:szCs w:val="24"/>
          <w:lang w:val="fr-FR"/>
        </w:rPr>
        <w:t xml:space="preserve"> </w:t>
      </w:r>
      <w:r w:rsidR="00F01CED">
        <w:rPr>
          <w:sz w:val="24"/>
          <w:szCs w:val="24"/>
          <w:lang w:val="fr-FR"/>
        </w:rPr>
        <w:t>plusieurs autres avantages</w:t>
      </w:r>
      <w:r w:rsidRPr="00565F35">
        <w:rPr>
          <w:sz w:val="24"/>
          <w:szCs w:val="24"/>
          <w:lang w:val="fr-FR"/>
        </w:rPr>
        <w:t xml:space="preserve">, par </w:t>
      </w:r>
      <w:r w:rsidR="00555426" w:rsidRPr="00565F35">
        <w:rPr>
          <w:sz w:val="24"/>
          <w:szCs w:val="24"/>
          <w:lang w:val="fr-FR"/>
        </w:rPr>
        <w:t>exemple :</w:t>
      </w:r>
    </w:p>
    <w:p w:rsidR="0089424D" w:rsidRDefault="00BB1529" w:rsidP="007B542E">
      <w:pPr>
        <w:pStyle w:val="ListParagraph"/>
        <w:numPr>
          <w:ilvl w:val="0"/>
          <w:numId w:val="4"/>
        </w:numPr>
        <w:jc w:val="both"/>
        <w:rPr>
          <w:sz w:val="24"/>
          <w:szCs w:val="24"/>
          <w:lang w:val="fr-FR"/>
        </w:rPr>
      </w:pPr>
      <w:r>
        <w:rPr>
          <w:sz w:val="24"/>
          <w:szCs w:val="24"/>
          <w:lang w:val="fr-FR"/>
        </w:rPr>
        <w:t>Comparé</w:t>
      </w:r>
      <w:r w:rsidR="00565F35">
        <w:rPr>
          <w:sz w:val="24"/>
          <w:szCs w:val="24"/>
          <w:lang w:val="fr-FR"/>
        </w:rPr>
        <w:t>s</w:t>
      </w:r>
      <w:r w:rsidR="007B542E" w:rsidRPr="0089424D">
        <w:rPr>
          <w:sz w:val="24"/>
          <w:szCs w:val="24"/>
          <w:lang w:val="fr-FR"/>
        </w:rPr>
        <w:t xml:space="preserve"> aux programmes de prêts directs, les systèmes de garantie ont des besoins en liquidités initiaux beaucoup plus faibles et, à ce titre, ont un effet de levier </w:t>
      </w:r>
      <w:r w:rsidR="00F01CED">
        <w:rPr>
          <w:sz w:val="24"/>
          <w:szCs w:val="24"/>
          <w:lang w:val="fr-FR"/>
        </w:rPr>
        <w:t>plus élevé</w:t>
      </w:r>
      <w:r w:rsidR="007B542E" w:rsidRPr="0089424D">
        <w:rPr>
          <w:sz w:val="24"/>
          <w:szCs w:val="24"/>
          <w:lang w:val="fr-FR"/>
        </w:rPr>
        <w:t>, ce qui signifie une utilisation plus efficace des fonds publics. Par conséquent, ils peuvent également être utilisés lorsque les contr</w:t>
      </w:r>
      <w:r w:rsidR="0097319D">
        <w:rPr>
          <w:sz w:val="24"/>
          <w:szCs w:val="24"/>
          <w:lang w:val="fr-FR"/>
        </w:rPr>
        <w:t>aintes budgétaires sont sévères</w:t>
      </w:r>
      <w:r w:rsidR="0089424D">
        <w:rPr>
          <w:sz w:val="24"/>
          <w:szCs w:val="24"/>
          <w:lang w:val="fr-FR"/>
        </w:rPr>
        <w:t>.</w:t>
      </w:r>
    </w:p>
    <w:p w:rsidR="0089424D" w:rsidRDefault="007B542E" w:rsidP="007B542E">
      <w:pPr>
        <w:pStyle w:val="ListParagraph"/>
        <w:numPr>
          <w:ilvl w:val="0"/>
          <w:numId w:val="4"/>
        </w:numPr>
        <w:jc w:val="both"/>
        <w:rPr>
          <w:sz w:val="24"/>
          <w:szCs w:val="24"/>
          <w:lang w:val="fr-FR"/>
        </w:rPr>
      </w:pPr>
      <w:r w:rsidRPr="0089424D">
        <w:rPr>
          <w:sz w:val="24"/>
          <w:szCs w:val="24"/>
          <w:lang w:val="fr-FR"/>
        </w:rPr>
        <w:t>Les institutions de garantie se caractérisent par une connaissance approfondie du marché local. En raison de leur proximité avec les PME</w:t>
      </w:r>
      <w:r w:rsidR="00C62C50">
        <w:rPr>
          <w:sz w:val="24"/>
          <w:szCs w:val="24"/>
          <w:lang w:val="fr-FR"/>
        </w:rPr>
        <w:t>,</w:t>
      </w:r>
      <w:r w:rsidRPr="0089424D">
        <w:rPr>
          <w:sz w:val="24"/>
          <w:szCs w:val="24"/>
          <w:lang w:val="fr-FR"/>
        </w:rPr>
        <w:t xml:space="preserve"> qui sont parfois indirectement ou même directement impliquées dans le processus de prise de décision, elles sont capables de bien évaluer les besoins de financement des PME qui leur permettent de sélectionner des projets de meilleure qualité créant ainsi une additionnalité économique significative.</w:t>
      </w:r>
    </w:p>
    <w:p w:rsidR="0089424D" w:rsidRDefault="007B542E" w:rsidP="007B542E">
      <w:pPr>
        <w:pStyle w:val="ListParagraph"/>
        <w:numPr>
          <w:ilvl w:val="0"/>
          <w:numId w:val="4"/>
        </w:numPr>
        <w:jc w:val="both"/>
        <w:rPr>
          <w:sz w:val="24"/>
          <w:szCs w:val="24"/>
          <w:lang w:val="fr-FR"/>
        </w:rPr>
      </w:pPr>
      <w:r w:rsidRPr="0089424D">
        <w:rPr>
          <w:sz w:val="24"/>
          <w:szCs w:val="24"/>
          <w:lang w:val="fr-FR"/>
        </w:rPr>
        <w:t>Étant donné que les institutions de garantie collaborent avec toutes les banques de leur région ou pays respectifs, elles peuvent couvrir toutes les PME.</w:t>
      </w:r>
    </w:p>
    <w:p w:rsidR="001A7DA4" w:rsidRDefault="007B542E" w:rsidP="001A7DA4">
      <w:pPr>
        <w:pStyle w:val="ListParagraph"/>
        <w:numPr>
          <w:ilvl w:val="0"/>
          <w:numId w:val="4"/>
        </w:numPr>
        <w:jc w:val="both"/>
        <w:rPr>
          <w:sz w:val="24"/>
          <w:szCs w:val="24"/>
          <w:lang w:val="fr-FR"/>
        </w:rPr>
      </w:pPr>
      <w:r w:rsidRPr="0089424D">
        <w:rPr>
          <w:sz w:val="24"/>
          <w:szCs w:val="24"/>
          <w:lang w:val="fr-FR"/>
        </w:rPr>
        <w:t xml:space="preserve">Les garanties </w:t>
      </w:r>
      <w:r w:rsidR="001A7DA4">
        <w:rPr>
          <w:sz w:val="24"/>
          <w:szCs w:val="24"/>
          <w:lang w:val="fr-FR"/>
        </w:rPr>
        <w:t>faussent moins</w:t>
      </w:r>
      <w:r w:rsidRPr="0089424D">
        <w:rPr>
          <w:sz w:val="24"/>
          <w:szCs w:val="24"/>
          <w:lang w:val="fr-FR"/>
        </w:rPr>
        <w:t xml:space="preserve"> la concurrence que les subventions ou les prêts publics.</w:t>
      </w:r>
    </w:p>
    <w:p w:rsidR="00555426" w:rsidRPr="007B01EE" w:rsidRDefault="00555426" w:rsidP="007B01EE">
      <w:pPr>
        <w:jc w:val="both"/>
        <w:rPr>
          <w:sz w:val="12"/>
          <w:szCs w:val="12"/>
          <w:lang w:val="fr-FR"/>
        </w:rPr>
      </w:pPr>
    </w:p>
    <w:p w:rsidR="00710F51" w:rsidRPr="0057166F" w:rsidRDefault="0057166F" w:rsidP="0057166F">
      <w:pPr>
        <w:pStyle w:val="ListParagraph"/>
        <w:numPr>
          <w:ilvl w:val="0"/>
          <w:numId w:val="3"/>
        </w:numPr>
        <w:jc w:val="both"/>
        <w:rPr>
          <w:b/>
          <w:sz w:val="24"/>
          <w:szCs w:val="24"/>
          <w:lang w:val="fr-FR"/>
        </w:rPr>
      </w:pPr>
      <w:r w:rsidRPr="0057166F">
        <w:rPr>
          <w:b/>
          <w:sz w:val="24"/>
          <w:szCs w:val="24"/>
          <w:lang w:val="fr-FR"/>
        </w:rPr>
        <w:t>Évalutation</w:t>
      </w:r>
      <w:r w:rsidR="00710F51" w:rsidRPr="0057166F">
        <w:rPr>
          <w:b/>
          <w:sz w:val="24"/>
          <w:szCs w:val="24"/>
          <w:lang w:val="fr-FR"/>
        </w:rPr>
        <w:t xml:space="preserve"> </w:t>
      </w:r>
      <w:r w:rsidRPr="0057166F">
        <w:rPr>
          <w:b/>
          <w:sz w:val="24"/>
          <w:szCs w:val="24"/>
          <w:lang w:val="fr-FR"/>
        </w:rPr>
        <w:t xml:space="preserve">« </w:t>
      </w:r>
      <w:r w:rsidR="00710F51" w:rsidRPr="0057166F">
        <w:rPr>
          <w:b/>
          <w:sz w:val="24"/>
          <w:szCs w:val="24"/>
          <w:lang w:val="fr-FR"/>
        </w:rPr>
        <w:t>ex-ante</w:t>
      </w:r>
      <w:r w:rsidRPr="0057166F">
        <w:rPr>
          <w:b/>
          <w:sz w:val="24"/>
          <w:szCs w:val="24"/>
          <w:lang w:val="fr-FR"/>
        </w:rPr>
        <w:t xml:space="preserve"> »</w:t>
      </w:r>
      <w:r>
        <w:rPr>
          <w:b/>
          <w:sz w:val="24"/>
          <w:szCs w:val="24"/>
          <w:lang w:val="fr-FR"/>
        </w:rPr>
        <w:t xml:space="preserve"> </w:t>
      </w:r>
      <w:r w:rsidRPr="0057166F">
        <w:rPr>
          <w:b/>
          <w:sz w:val="24"/>
          <w:szCs w:val="24"/>
          <w:lang w:val="fr-FR"/>
        </w:rPr>
        <w:t>approfondie</w:t>
      </w:r>
    </w:p>
    <w:p w:rsidR="00555426" w:rsidRDefault="0057166F" w:rsidP="0057166F">
      <w:pPr>
        <w:jc w:val="both"/>
        <w:rPr>
          <w:sz w:val="24"/>
          <w:szCs w:val="24"/>
          <w:lang w:val="fr-FR"/>
        </w:rPr>
      </w:pPr>
      <w:r w:rsidRPr="0057166F">
        <w:rPr>
          <w:sz w:val="24"/>
          <w:szCs w:val="24"/>
          <w:lang w:val="fr-FR"/>
        </w:rPr>
        <w:t xml:space="preserve">Afin d'éviter un chevauchement des systèmes de financement, qu'il soit d'origine </w:t>
      </w:r>
      <w:r w:rsidR="00562301">
        <w:rPr>
          <w:sz w:val="24"/>
          <w:szCs w:val="24"/>
          <w:lang w:val="fr-FR"/>
        </w:rPr>
        <w:t>nationale/</w:t>
      </w:r>
      <w:r w:rsidRPr="0057166F">
        <w:rPr>
          <w:sz w:val="24"/>
          <w:szCs w:val="24"/>
          <w:lang w:val="fr-FR"/>
        </w:rPr>
        <w:t>européenne ou européenne</w:t>
      </w:r>
      <w:r w:rsidR="00562301">
        <w:rPr>
          <w:sz w:val="24"/>
          <w:szCs w:val="24"/>
          <w:lang w:val="fr-FR"/>
        </w:rPr>
        <w:t>/e</w:t>
      </w:r>
      <w:r w:rsidRPr="0057166F">
        <w:rPr>
          <w:sz w:val="24"/>
          <w:szCs w:val="24"/>
          <w:lang w:val="fr-FR"/>
        </w:rPr>
        <w:t>uropéen</w:t>
      </w:r>
      <w:r w:rsidR="00562301">
        <w:rPr>
          <w:sz w:val="24"/>
          <w:szCs w:val="24"/>
          <w:lang w:val="fr-FR"/>
        </w:rPr>
        <w:t>ne</w:t>
      </w:r>
      <w:r w:rsidRPr="0057166F">
        <w:rPr>
          <w:sz w:val="24"/>
          <w:szCs w:val="24"/>
          <w:lang w:val="fr-FR"/>
        </w:rPr>
        <w:t xml:space="preserve">, l'évaluation </w:t>
      </w:r>
      <w:r w:rsidR="00555426">
        <w:rPr>
          <w:sz w:val="24"/>
          <w:szCs w:val="24"/>
          <w:lang w:val="fr-FR"/>
        </w:rPr>
        <w:t xml:space="preserve">« </w:t>
      </w:r>
      <w:r w:rsidRPr="0057166F">
        <w:rPr>
          <w:sz w:val="24"/>
          <w:szCs w:val="24"/>
          <w:lang w:val="fr-FR"/>
        </w:rPr>
        <w:t>ex ante</w:t>
      </w:r>
      <w:r w:rsidR="00555426">
        <w:rPr>
          <w:sz w:val="24"/>
          <w:szCs w:val="24"/>
          <w:lang w:val="fr-FR"/>
        </w:rPr>
        <w:t xml:space="preserve"> » </w:t>
      </w:r>
      <w:r w:rsidRPr="0057166F">
        <w:rPr>
          <w:sz w:val="24"/>
          <w:szCs w:val="24"/>
          <w:lang w:val="fr-FR"/>
        </w:rPr>
        <w:t>doit être effectuée de manière plus approfondie</w:t>
      </w:r>
      <w:r w:rsidR="00562301">
        <w:rPr>
          <w:sz w:val="24"/>
          <w:szCs w:val="24"/>
          <w:lang w:val="fr-FR"/>
        </w:rPr>
        <w:t>. Correctement et dûment fait</w:t>
      </w:r>
      <w:r w:rsidR="00555426">
        <w:rPr>
          <w:sz w:val="24"/>
          <w:szCs w:val="24"/>
          <w:lang w:val="fr-FR"/>
        </w:rPr>
        <w:t>e</w:t>
      </w:r>
      <w:r w:rsidR="00562301">
        <w:rPr>
          <w:sz w:val="24"/>
          <w:szCs w:val="24"/>
          <w:lang w:val="fr-FR"/>
        </w:rPr>
        <w:t>, elle</w:t>
      </w:r>
      <w:r w:rsidRPr="0057166F">
        <w:rPr>
          <w:sz w:val="24"/>
          <w:szCs w:val="24"/>
          <w:lang w:val="fr-FR"/>
        </w:rPr>
        <w:t xml:space="preserve"> révèle les possibilités de financement déjà </w:t>
      </w:r>
      <w:r w:rsidR="00555426">
        <w:rPr>
          <w:sz w:val="24"/>
          <w:szCs w:val="24"/>
          <w:lang w:val="fr-FR"/>
        </w:rPr>
        <w:t>existantes</w:t>
      </w:r>
      <w:r w:rsidRPr="0057166F">
        <w:rPr>
          <w:sz w:val="24"/>
          <w:szCs w:val="24"/>
          <w:lang w:val="fr-FR"/>
        </w:rPr>
        <w:t xml:space="preserve"> et détermine correctement si un soutien complémentaire est encore nécessaire.</w:t>
      </w:r>
    </w:p>
    <w:p w:rsidR="00555426" w:rsidRPr="007B01EE" w:rsidRDefault="00555426" w:rsidP="0057166F">
      <w:pPr>
        <w:jc w:val="both"/>
        <w:rPr>
          <w:sz w:val="12"/>
          <w:szCs w:val="12"/>
          <w:lang w:val="fr-FR"/>
        </w:rPr>
      </w:pPr>
    </w:p>
    <w:p w:rsidR="00D46C01" w:rsidRDefault="00D46C01" w:rsidP="00D46C01">
      <w:pPr>
        <w:pStyle w:val="ListParagraph"/>
        <w:numPr>
          <w:ilvl w:val="0"/>
          <w:numId w:val="2"/>
        </w:numPr>
        <w:jc w:val="both"/>
        <w:rPr>
          <w:b/>
          <w:sz w:val="24"/>
          <w:szCs w:val="24"/>
          <w:lang w:val="fr-FR"/>
        </w:rPr>
      </w:pPr>
      <w:r>
        <w:rPr>
          <w:b/>
          <w:sz w:val="24"/>
          <w:szCs w:val="24"/>
          <w:lang w:val="fr-FR"/>
        </w:rPr>
        <w:t>Amélioration de la relation input/</w:t>
      </w:r>
      <w:r w:rsidRPr="00D46C01">
        <w:rPr>
          <w:b/>
          <w:sz w:val="24"/>
          <w:szCs w:val="24"/>
          <w:lang w:val="fr-FR"/>
        </w:rPr>
        <w:t>impact des fonds publics par l'application de contre-garanties (par exemple, par des conditions plus favorables pour les contre-garanties)</w:t>
      </w:r>
    </w:p>
    <w:p w:rsidR="00D46C01" w:rsidRPr="00932047" w:rsidRDefault="00D46C01" w:rsidP="00D46C01">
      <w:pPr>
        <w:jc w:val="both"/>
        <w:rPr>
          <w:sz w:val="24"/>
          <w:szCs w:val="24"/>
          <w:lang w:val="fr-FR"/>
        </w:rPr>
      </w:pPr>
      <w:r w:rsidRPr="00D46C01">
        <w:rPr>
          <w:sz w:val="24"/>
          <w:szCs w:val="24"/>
          <w:lang w:val="fr-FR"/>
        </w:rPr>
        <w:t>Le mécanisme de garantie de l'UE est acheminé par l</w:t>
      </w:r>
      <w:r w:rsidR="00A0240C">
        <w:rPr>
          <w:sz w:val="24"/>
          <w:szCs w:val="24"/>
          <w:lang w:val="fr-FR"/>
        </w:rPr>
        <w:t xml:space="preserve">e FEI soit par les </w:t>
      </w:r>
      <w:r w:rsidRPr="00D46C01">
        <w:rPr>
          <w:sz w:val="24"/>
          <w:szCs w:val="24"/>
          <w:lang w:val="fr-FR"/>
        </w:rPr>
        <w:t xml:space="preserve">institutions de garantie sous forme de contre-garantie (= FEI, institution de garantie, banque commerciale, client), soit par </w:t>
      </w:r>
      <w:r w:rsidR="00A0240C">
        <w:rPr>
          <w:sz w:val="24"/>
          <w:szCs w:val="24"/>
          <w:lang w:val="fr-FR"/>
        </w:rPr>
        <w:t>les</w:t>
      </w:r>
      <w:r w:rsidRPr="00D46C01">
        <w:rPr>
          <w:sz w:val="24"/>
          <w:szCs w:val="24"/>
          <w:lang w:val="fr-FR"/>
        </w:rPr>
        <w:t xml:space="preserve"> banques commerciales sous forme de garantie directe (= EIF, banque commerciale, client). Dans certains pays où il n'existe pas d'institution de garantie, par exemple à Malte, où les institutions de garantie ne couvrent pas tous les instruments demandés par les PME, les garanties directes sont le seul moyen d'atteindre les PME ou de couvrir l'ensemble des instruments. Pourtant, dans un nombre croissant de pays où des institutions de garantie sont établies, des contrats de garantie directe sont conclus parfois même parallèlem</w:t>
      </w:r>
      <w:r w:rsidR="00932047">
        <w:rPr>
          <w:sz w:val="24"/>
          <w:szCs w:val="24"/>
          <w:lang w:val="fr-FR"/>
        </w:rPr>
        <w:t>ent à des contrats de garantie.</w:t>
      </w:r>
    </w:p>
    <w:p w:rsidR="00D46C01" w:rsidRPr="00D46C01" w:rsidRDefault="00D46C01" w:rsidP="00D46C01">
      <w:pPr>
        <w:jc w:val="both"/>
        <w:rPr>
          <w:sz w:val="24"/>
          <w:szCs w:val="24"/>
          <w:lang w:val="fr-FR"/>
        </w:rPr>
      </w:pPr>
      <w:r w:rsidRPr="00D46C01">
        <w:rPr>
          <w:sz w:val="24"/>
          <w:szCs w:val="24"/>
          <w:lang w:val="fr-FR"/>
        </w:rPr>
        <w:t>En cas de contre-garantie,</w:t>
      </w:r>
    </w:p>
    <w:p w:rsidR="00D46C01" w:rsidRDefault="00932047" w:rsidP="00932047">
      <w:pPr>
        <w:pStyle w:val="ListParagraph"/>
        <w:numPr>
          <w:ilvl w:val="0"/>
          <w:numId w:val="5"/>
        </w:numPr>
        <w:jc w:val="both"/>
        <w:rPr>
          <w:sz w:val="24"/>
          <w:szCs w:val="24"/>
          <w:lang w:val="fr-FR"/>
        </w:rPr>
      </w:pPr>
      <w:r w:rsidRPr="00932047">
        <w:rPr>
          <w:sz w:val="24"/>
          <w:szCs w:val="24"/>
          <w:lang w:val="fr-FR"/>
        </w:rPr>
        <w:t>L’impact</w:t>
      </w:r>
      <w:r w:rsidR="00D46C01" w:rsidRPr="00932047">
        <w:rPr>
          <w:sz w:val="24"/>
          <w:szCs w:val="24"/>
          <w:lang w:val="fr-FR"/>
        </w:rPr>
        <w:t xml:space="preserve"> sur l'économie est plus élevé grâce à une relation plus forte entre </w:t>
      </w:r>
      <w:r>
        <w:rPr>
          <w:sz w:val="24"/>
          <w:szCs w:val="24"/>
          <w:lang w:val="fr-FR"/>
        </w:rPr>
        <w:t>input/output</w:t>
      </w:r>
      <w:r w:rsidR="00D46C01" w:rsidRPr="00932047">
        <w:rPr>
          <w:sz w:val="24"/>
          <w:szCs w:val="24"/>
          <w:lang w:val="fr-FR"/>
        </w:rPr>
        <w:t xml:space="preserve"> </w:t>
      </w:r>
      <w:r>
        <w:rPr>
          <w:sz w:val="24"/>
          <w:szCs w:val="24"/>
          <w:lang w:val="fr-FR"/>
        </w:rPr>
        <w:t xml:space="preserve">et </w:t>
      </w:r>
      <w:r w:rsidR="00D46C01" w:rsidRPr="00932047">
        <w:rPr>
          <w:sz w:val="24"/>
          <w:szCs w:val="24"/>
          <w:lang w:val="fr-FR"/>
        </w:rPr>
        <w:t xml:space="preserve">à une additionnalité économique </w:t>
      </w:r>
      <w:r>
        <w:rPr>
          <w:sz w:val="24"/>
          <w:szCs w:val="24"/>
          <w:lang w:val="fr-FR"/>
        </w:rPr>
        <w:t xml:space="preserve">plus élevée </w:t>
      </w:r>
      <w:r w:rsidR="00D46C01" w:rsidRPr="00932047">
        <w:rPr>
          <w:sz w:val="24"/>
          <w:szCs w:val="24"/>
          <w:lang w:val="fr-FR"/>
        </w:rPr>
        <w:t>en terme</w:t>
      </w:r>
      <w:r>
        <w:rPr>
          <w:sz w:val="24"/>
          <w:szCs w:val="24"/>
          <w:lang w:val="fr-FR"/>
        </w:rPr>
        <w:t>s</w:t>
      </w:r>
      <w:r w:rsidR="00D46C01" w:rsidRPr="00932047">
        <w:rPr>
          <w:sz w:val="24"/>
          <w:szCs w:val="24"/>
          <w:lang w:val="fr-FR"/>
        </w:rPr>
        <w:t xml:space="preserve"> d'innovation, d'emploi et de croissance (KPMG 2016 - «L'importance des intermédiaires financiers dans le financement des PME et évaluation des différents effets économiques, </w:t>
      </w:r>
      <w:r>
        <w:rPr>
          <w:sz w:val="24"/>
          <w:szCs w:val="24"/>
          <w:lang w:val="fr-FR"/>
        </w:rPr>
        <w:t xml:space="preserve">des </w:t>
      </w:r>
      <w:r w:rsidR="00D46C01" w:rsidRPr="00932047">
        <w:rPr>
          <w:sz w:val="24"/>
          <w:szCs w:val="24"/>
          <w:lang w:val="fr-FR"/>
        </w:rPr>
        <w:t>Instruments financiers de l'UE à la lumière des contrats de garantie directe ou de contre-garantie ");</w:t>
      </w:r>
    </w:p>
    <w:p w:rsidR="007B01EE" w:rsidRDefault="007B01EE" w:rsidP="007B01EE">
      <w:pPr>
        <w:pStyle w:val="ListParagraph"/>
        <w:jc w:val="both"/>
        <w:rPr>
          <w:sz w:val="24"/>
          <w:szCs w:val="24"/>
          <w:lang w:val="fr-FR"/>
        </w:rPr>
      </w:pPr>
    </w:p>
    <w:p w:rsidR="00342F30" w:rsidRPr="00342F30" w:rsidRDefault="00342F30" w:rsidP="00342F30">
      <w:pPr>
        <w:pStyle w:val="ListParagraph"/>
        <w:numPr>
          <w:ilvl w:val="0"/>
          <w:numId w:val="5"/>
        </w:numPr>
        <w:jc w:val="both"/>
        <w:rPr>
          <w:sz w:val="24"/>
          <w:szCs w:val="24"/>
          <w:lang w:val="fr-FR"/>
        </w:rPr>
      </w:pPr>
      <w:r w:rsidRPr="00342F30">
        <w:rPr>
          <w:sz w:val="24"/>
          <w:szCs w:val="24"/>
          <w:lang w:val="fr-FR"/>
        </w:rPr>
        <w:t>puisque les institutions de garantie travaillent avec toutes les banques de leur région / pays, elles s'adressent à toutes les PME et pas seulement à une clientèle spécifique;</w:t>
      </w:r>
    </w:p>
    <w:p w:rsidR="00342F30" w:rsidRPr="00342F30" w:rsidRDefault="00342F30" w:rsidP="00342F30">
      <w:pPr>
        <w:pStyle w:val="ListParagraph"/>
        <w:numPr>
          <w:ilvl w:val="0"/>
          <w:numId w:val="5"/>
        </w:numPr>
        <w:jc w:val="both"/>
        <w:rPr>
          <w:sz w:val="24"/>
          <w:szCs w:val="24"/>
          <w:lang w:val="fr-FR"/>
        </w:rPr>
      </w:pPr>
      <w:r w:rsidRPr="00342F30">
        <w:rPr>
          <w:sz w:val="24"/>
          <w:szCs w:val="24"/>
          <w:lang w:val="fr-FR"/>
        </w:rPr>
        <w:t xml:space="preserve">les institutions </w:t>
      </w:r>
      <w:r w:rsidR="002A4963">
        <w:rPr>
          <w:sz w:val="24"/>
          <w:szCs w:val="24"/>
          <w:lang w:val="fr-FR"/>
        </w:rPr>
        <w:t xml:space="preserve">de garantie </w:t>
      </w:r>
      <w:r w:rsidRPr="00342F30">
        <w:rPr>
          <w:sz w:val="24"/>
          <w:szCs w:val="24"/>
          <w:lang w:val="fr-FR"/>
        </w:rPr>
        <w:t xml:space="preserve">fournissent des garanties sur une base individuelle, apportant ainsi leurs connaissances spécifiques sur le marché local des PME, y compris la reconnaissance des facteurs </w:t>
      </w:r>
      <w:r w:rsidR="00EF1E4E">
        <w:rPr>
          <w:sz w:val="24"/>
          <w:szCs w:val="24"/>
          <w:lang w:val="fr-FR"/>
        </w:rPr>
        <w:t>qualitatifs</w:t>
      </w:r>
      <w:r w:rsidRPr="00342F30">
        <w:rPr>
          <w:sz w:val="24"/>
          <w:szCs w:val="24"/>
          <w:lang w:val="fr-FR"/>
        </w:rPr>
        <w:t xml:space="preserve"> et le traitement de l'analphabétisme dit financier;</w:t>
      </w:r>
    </w:p>
    <w:p w:rsidR="00342F30" w:rsidRPr="00342F30" w:rsidRDefault="00342F30" w:rsidP="00342F30">
      <w:pPr>
        <w:pStyle w:val="ListParagraph"/>
        <w:numPr>
          <w:ilvl w:val="0"/>
          <w:numId w:val="5"/>
        </w:numPr>
        <w:jc w:val="both"/>
        <w:rPr>
          <w:sz w:val="24"/>
          <w:szCs w:val="24"/>
          <w:lang w:val="fr-FR"/>
        </w:rPr>
      </w:pPr>
      <w:r w:rsidRPr="00342F30">
        <w:rPr>
          <w:sz w:val="24"/>
          <w:szCs w:val="24"/>
          <w:lang w:val="fr-FR"/>
        </w:rPr>
        <w:t xml:space="preserve">les institutions </w:t>
      </w:r>
      <w:r w:rsidR="00236DA0">
        <w:rPr>
          <w:sz w:val="24"/>
          <w:szCs w:val="24"/>
          <w:lang w:val="fr-FR"/>
        </w:rPr>
        <w:t xml:space="preserve">de garanties </w:t>
      </w:r>
      <w:r w:rsidRPr="00342F30">
        <w:rPr>
          <w:sz w:val="24"/>
          <w:szCs w:val="24"/>
          <w:lang w:val="fr-FR"/>
        </w:rPr>
        <w:t xml:space="preserve">comblent l'écart de marché quant à l'accès des PME au financement </w:t>
      </w:r>
      <w:r w:rsidR="00B01B38">
        <w:rPr>
          <w:sz w:val="24"/>
          <w:szCs w:val="24"/>
          <w:lang w:val="fr-FR"/>
        </w:rPr>
        <w:t xml:space="preserve">surtout </w:t>
      </w:r>
      <w:r w:rsidRPr="00342F30">
        <w:rPr>
          <w:sz w:val="24"/>
          <w:szCs w:val="24"/>
          <w:lang w:val="fr-FR"/>
        </w:rPr>
        <w:t>en temps de crise, quand elles sont encore plus nécessaires, en raison de leur mission promotionnelle / autosuffisante.</w:t>
      </w:r>
    </w:p>
    <w:p w:rsidR="00342F30" w:rsidRPr="00236DA0" w:rsidRDefault="00342F30" w:rsidP="00B01B38">
      <w:pPr>
        <w:jc w:val="both"/>
        <w:rPr>
          <w:sz w:val="24"/>
          <w:szCs w:val="24"/>
          <w:lang w:val="fr-FR"/>
        </w:rPr>
      </w:pPr>
      <w:r w:rsidRPr="00236DA0">
        <w:rPr>
          <w:sz w:val="24"/>
          <w:szCs w:val="24"/>
          <w:lang w:val="fr-FR"/>
        </w:rPr>
        <w:t xml:space="preserve">En conclusion, l'impact macroéconomique des contre-garanties est nettement plus élevé par rapport aux garanties directes et, par conséquent, les conditions des contre-garanties devraient être fixées de manière plus favorable. De telles conditions favorables pourraient, par exemple, consister en une meilleure tarification (par exemple InnovFin). Dans les cas où la garantie de l'UE est gratuite (par exemple COSME), </w:t>
      </w:r>
      <w:r w:rsidR="00F16A46">
        <w:rPr>
          <w:sz w:val="24"/>
          <w:szCs w:val="24"/>
          <w:lang w:val="fr-FR"/>
        </w:rPr>
        <w:t xml:space="preserve">un traitement plus convenable </w:t>
      </w:r>
      <w:r w:rsidRPr="00236DA0">
        <w:rPr>
          <w:sz w:val="24"/>
          <w:szCs w:val="24"/>
          <w:lang w:val="fr-FR"/>
        </w:rPr>
        <w:t xml:space="preserve">des contre-garanties pourrait être obtenu au cours du processus de sélection de chaque demandeur: Comme stipulé dans l'appel à </w:t>
      </w:r>
      <w:r w:rsidR="00F16A46">
        <w:rPr>
          <w:sz w:val="24"/>
          <w:szCs w:val="24"/>
          <w:lang w:val="fr-FR"/>
        </w:rPr>
        <w:t xml:space="preserve">l’expression </w:t>
      </w:r>
      <w:r w:rsidRPr="00236DA0">
        <w:rPr>
          <w:sz w:val="24"/>
          <w:szCs w:val="24"/>
          <w:lang w:val="fr-FR"/>
        </w:rPr>
        <w:t xml:space="preserve">d'intérêt de </w:t>
      </w:r>
      <w:r w:rsidR="00F16A46">
        <w:rPr>
          <w:sz w:val="24"/>
          <w:szCs w:val="24"/>
          <w:lang w:val="fr-FR"/>
        </w:rPr>
        <w:t>l</w:t>
      </w:r>
      <w:r w:rsidRPr="00236DA0">
        <w:rPr>
          <w:sz w:val="24"/>
          <w:szCs w:val="24"/>
          <w:lang w:val="fr-FR"/>
        </w:rPr>
        <w:t xml:space="preserve">a facilité de garantie de prêt COSME, une partie de ce processus </w:t>
      </w:r>
      <w:r w:rsidR="002C00E0">
        <w:rPr>
          <w:sz w:val="24"/>
          <w:szCs w:val="24"/>
          <w:lang w:val="fr-FR"/>
        </w:rPr>
        <w:t>est</w:t>
      </w:r>
      <w:r w:rsidR="00F16A46">
        <w:rPr>
          <w:sz w:val="24"/>
          <w:szCs w:val="24"/>
          <w:lang w:val="fr-FR"/>
        </w:rPr>
        <w:t xml:space="preserve"> basée sur une évaluation </w:t>
      </w:r>
      <w:r w:rsidRPr="00236DA0">
        <w:rPr>
          <w:sz w:val="24"/>
          <w:szCs w:val="24"/>
          <w:lang w:val="fr-FR"/>
        </w:rPr>
        <w:t xml:space="preserve"> </w:t>
      </w:r>
      <w:r w:rsidR="002C00E0">
        <w:rPr>
          <w:sz w:val="24"/>
          <w:szCs w:val="24"/>
          <w:lang w:val="fr-FR"/>
        </w:rPr>
        <w:t xml:space="preserve">du </w:t>
      </w:r>
      <w:r w:rsidR="00E424D0">
        <w:rPr>
          <w:sz w:val="24"/>
          <w:szCs w:val="24"/>
          <w:lang w:val="fr-FR"/>
        </w:rPr>
        <w:t>demandeur dans la</w:t>
      </w:r>
      <w:r w:rsidR="002C00E0">
        <w:rPr>
          <w:sz w:val="24"/>
          <w:szCs w:val="24"/>
          <w:lang w:val="fr-FR"/>
        </w:rPr>
        <w:t>quel</w:t>
      </w:r>
      <w:r w:rsidR="00E424D0">
        <w:rPr>
          <w:sz w:val="24"/>
          <w:szCs w:val="24"/>
          <w:lang w:val="fr-FR"/>
        </w:rPr>
        <w:t>le</w:t>
      </w:r>
      <w:r w:rsidR="002C00E0">
        <w:rPr>
          <w:sz w:val="24"/>
          <w:szCs w:val="24"/>
          <w:lang w:val="fr-FR"/>
        </w:rPr>
        <w:t xml:space="preserve"> une série de</w:t>
      </w:r>
      <w:r w:rsidRPr="00236DA0">
        <w:rPr>
          <w:sz w:val="24"/>
          <w:szCs w:val="24"/>
          <w:lang w:val="fr-FR"/>
        </w:rPr>
        <w:t xml:space="preserve"> critères est évalué. On pourrait </w:t>
      </w:r>
      <w:r w:rsidR="002C00E0">
        <w:rPr>
          <w:sz w:val="24"/>
          <w:szCs w:val="24"/>
          <w:lang w:val="fr-FR"/>
        </w:rPr>
        <w:t xml:space="preserve">donc </w:t>
      </w:r>
      <w:r w:rsidRPr="00236DA0">
        <w:rPr>
          <w:sz w:val="24"/>
          <w:szCs w:val="24"/>
          <w:lang w:val="fr-FR"/>
        </w:rPr>
        <w:t xml:space="preserve">inclure un critère pour examiner si </w:t>
      </w:r>
      <w:r w:rsidRPr="007B01EE">
        <w:rPr>
          <w:sz w:val="24"/>
          <w:szCs w:val="24"/>
          <w:lang w:val="fr-FR"/>
        </w:rPr>
        <w:t>une institution de garantie qui fonctionne bien est déjà en place dans le pays du demandeur. Si le demandeur est issu d'une telle institution, il donnerait à sa demande une meilleure qualité.</w:t>
      </w:r>
    </w:p>
    <w:p w:rsidR="0089113D" w:rsidRPr="00D7378D" w:rsidRDefault="0089113D" w:rsidP="007B01EE">
      <w:pPr>
        <w:jc w:val="both"/>
        <w:rPr>
          <w:sz w:val="24"/>
          <w:szCs w:val="24"/>
          <w:lang w:val="fr-FR"/>
        </w:rPr>
      </w:pPr>
    </w:p>
    <w:p w:rsidR="008963C4" w:rsidRPr="005316E7" w:rsidRDefault="005316E7" w:rsidP="005316E7">
      <w:pPr>
        <w:ind w:left="284" w:hanging="284"/>
        <w:jc w:val="both"/>
        <w:rPr>
          <w:b/>
          <w:sz w:val="24"/>
          <w:szCs w:val="24"/>
          <w:lang w:val="fr-FR"/>
        </w:rPr>
      </w:pPr>
      <w:r>
        <w:rPr>
          <w:b/>
          <w:sz w:val="24"/>
          <w:szCs w:val="24"/>
          <w:lang w:val="fr-FR"/>
        </w:rPr>
        <w:t>•</w:t>
      </w:r>
      <w:r>
        <w:rPr>
          <w:b/>
          <w:sz w:val="24"/>
          <w:szCs w:val="24"/>
          <w:lang w:val="fr-FR"/>
        </w:rPr>
        <w:tab/>
        <w:t>Révision</w:t>
      </w:r>
      <w:r w:rsidR="0089113D" w:rsidRPr="005316E7">
        <w:rPr>
          <w:b/>
          <w:sz w:val="24"/>
          <w:szCs w:val="24"/>
          <w:lang w:val="fr-FR"/>
        </w:rPr>
        <w:t xml:space="preserve"> </w:t>
      </w:r>
      <w:r w:rsidRPr="005316E7">
        <w:rPr>
          <w:b/>
          <w:sz w:val="24"/>
          <w:szCs w:val="24"/>
          <w:lang w:val="fr-FR"/>
        </w:rPr>
        <w:t>de la communication de l'UE C155 / 2008</w:t>
      </w:r>
    </w:p>
    <w:p w:rsidR="008963C4" w:rsidRDefault="008963C4" w:rsidP="005316E7">
      <w:pPr>
        <w:jc w:val="both"/>
        <w:rPr>
          <w:sz w:val="24"/>
          <w:szCs w:val="24"/>
          <w:lang w:val="fr-FR"/>
        </w:rPr>
      </w:pPr>
      <w:r w:rsidRPr="008963C4">
        <w:rPr>
          <w:sz w:val="24"/>
          <w:szCs w:val="24"/>
          <w:lang w:val="fr-FR"/>
        </w:rPr>
        <w:t>Afin de faciliter l'accès d'un plus grand nombre de PME aux systèmes de garantie / contre-garantie, il est nécessaire d</w:t>
      </w:r>
      <w:r w:rsidR="007074E4">
        <w:rPr>
          <w:sz w:val="24"/>
          <w:szCs w:val="24"/>
          <w:lang w:val="fr-FR"/>
        </w:rPr>
        <w:t>e réviser</w:t>
      </w:r>
      <w:r w:rsidRPr="008963C4">
        <w:rPr>
          <w:sz w:val="24"/>
          <w:szCs w:val="24"/>
          <w:lang w:val="fr-FR"/>
        </w:rPr>
        <w:t xml:space="preserve"> la communication no. 155/200</w:t>
      </w:r>
      <w:r w:rsidR="0034123C">
        <w:rPr>
          <w:sz w:val="24"/>
          <w:szCs w:val="24"/>
          <w:lang w:val="fr-FR"/>
        </w:rPr>
        <w:t xml:space="preserve">8 en actualisant </w:t>
      </w:r>
      <w:r w:rsidRPr="008963C4">
        <w:rPr>
          <w:sz w:val="24"/>
          <w:szCs w:val="24"/>
          <w:lang w:val="fr-FR"/>
        </w:rPr>
        <w:t xml:space="preserve">le niveau des </w:t>
      </w:r>
      <w:r w:rsidR="007074E4">
        <w:rPr>
          <w:sz w:val="24"/>
          <w:szCs w:val="24"/>
          <w:lang w:val="fr-FR"/>
        </w:rPr>
        <w:t>frais</w:t>
      </w:r>
      <w:r w:rsidRPr="008963C4">
        <w:rPr>
          <w:sz w:val="24"/>
          <w:szCs w:val="24"/>
          <w:lang w:val="fr-FR"/>
        </w:rPr>
        <w:t xml:space="preserve"> de garantie en fonction du nouvel environnement économique des pays après la crise financière. </w:t>
      </w:r>
      <w:r w:rsidR="00E330A4">
        <w:rPr>
          <w:sz w:val="24"/>
          <w:szCs w:val="24"/>
          <w:lang w:val="fr-FR"/>
        </w:rPr>
        <w:t>En ce moment, les frais minimums dans la communication sont très</w:t>
      </w:r>
      <w:r w:rsidRPr="008963C4">
        <w:rPr>
          <w:sz w:val="24"/>
          <w:szCs w:val="24"/>
          <w:lang w:val="fr-FR"/>
        </w:rPr>
        <w:t xml:space="preserve"> élevé</w:t>
      </w:r>
      <w:r w:rsidR="00E330A4">
        <w:rPr>
          <w:sz w:val="24"/>
          <w:szCs w:val="24"/>
          <w:lang w:val="fr-FR"/>
        </w:rPr>
        <w:t>s</w:t>
      </w:r>
      <w:r w:rsidRPr="008963C4">
        <w:rPr>
          <w:sz w:val="24"/>
          <w:szCs w:val="24"/>
          <w:lang w:val="fr-FR"/>
        </w:rPr>
        <w:t xml:space="preserve"> par rapport aux taux d'intérêt actuels des prêts</w:t>
      </w:r>
      <w:r w:rsidR="00E330A4">
        <w:rPr>
          <w:sz w:val="24"/>
          <w:szCs w:val="24"/>
          <w:lang w:val="fr-FR"/>
        </w:rPr>
        <w:t xml:space="preserve">, ce qui a </w:t>
      </w:r>
      <w:r w:rsidRPr="008963C4">
        <w:rPr>
          <w:sz w:val="24"/>
          <w:szCs w:val="24"/>
          <w:lang w:val="fr-FR"/>
        </w:rPr>
        <w:t>un effet négatif sur l'accès des PME au financement.</w:t>
      </w:r>
    </w:p>
    <w:p w:rsidR="007B01EE" w:rsidRDefault="007B01EE" w:rsidP="005316E7">
      <w:pPr>
        <w:jc w:val="both"/>
        <w:rPr>
          <w:sz w:val="24"/>
          <w:szCs w:val="24"/>
          <w:lang w:val="fr-FR"/>
        </w:rPr>
      </w:pPr>
    </w:p>
    <w:p w:rsidR="00633A6C" w:rsidRPr="003702E2" w:rsidRDefault="002162E2" w:rsidP="003702E2">
      <w:pPr>
        <w:ind w:left="284" w:hanging="284"/>
        <w:jc w:val="both"/>
        <w:rPr>
          <w:b/>
          <w:sz w:val="24"/>
          <w:szCs w:val="24"/>
          <w:lang w:val="fr-FR"/>
        </w:rPr>
      </w:pPr>
      <w:r w:rsidRPr="003702E2">
        <w:rPr>
          <w:b/>
          <w:sz w:val="24"/>
          <w:szCs w:val="24"/>
          <w:lang w:val="fr-FR"/>
        </w:rPr>
        <w:t>•</w:t>
      </w:r>
      <w:r w:rsidRPr="003702E2">
        <w:rPr>
          <w:b/>
          <w:sz w:val="24"/>
          <w:szCs w:val="24"/>
          <w:lang w:val="fr-FR"/>
        </w:rPr>
        <w:tab/>
      </w:r>
      <w:r w:rsidR="00453D95" w:rsidRPr="003702E2">
        <w:rPr>
          <w:b/>
          <w:sz w:val="24"/>
          <w:szCs w:val="24"/>
          <w:lang w:val="fr-FR"/>
        </w:rPr>
        <w:t>Financement</w:t>
      </w:r>
      <w:r w:rsidR="003702E2" w:rsidRPr="003702E2">
        <w:rPr>
          <w:b/>
          <w:sz w:val="24"/>
          <w:szCs w:val="24"/>
          <w:lang w:val="fr-FR"/>
        </w:rPr>
        <w:t xml:space="preserve"> suffisant pour</w:t>
      </w:r>
      <w:r w:rsidR="00FB6E3E" w:rsidRPr="003702E2">
        <w:rPr>
          <w:b/>
          <w:sz w:val="24"/>
          <w:szCs w:val="24"/>
          <w:lang w:val="fr-FR"/>
        </w:rPr>
        <w:t xml:space="preserve"> COSME </w:t>
      </w:r>
      <w:r w:rsidR="003702E2">
        <w:rPr>
          <w:b/>
          <w:sz w:val="24"/>
          <w:szCs w:val="24"/>
          <w:lang w:val="fr-FR"/>
        </w:rPr>
        <w:t>et</w:t>
      </w:r>
      <w:r w:rsidR="00FB6E3E" w:rsidRPr="003702E2">
        <w:rPr>
          <w:b/>
          <w:sz w:val="24"/>
          <w:szCs w:val="24"/>
          <w:lang w:val="fr-FR"/>
        </w:rPr>
        <w:t xml:space="preserve"> InnovFin </w:t>
      </w:r>
    </w:p>
    <w:p w:rsidR="00895AAB" w:rsidRDefault="007927C0" w:rsidP="007C1A1A">
      <w:pPr>
        <w:jc w:val="both"/>
        <w:rPr>
          <w:sz w:val="24"/>
          <w:szCs w:val="24"/>
          <w:lang w:val="fr-FR"/>
        </w:rPr>
      </w:pPr>
      <w:r>
        <w:rPr>
          <w:sz w:val="24"/>
          <w:szCs w:val="24"/>
          <w:lang w:val="fr-FR"/>
        </w:rPr>
        <w:t xml:space="preserve">Compte tenu de l'importance du programme </w:t>
      </w:r>
      <w:r w:rsidR="00633A6C" w:rsidRPr="00633A6C">
        <w:rPr>
          <w:sz w:val="24"/>
          <w:szCs w:val="24"/>
          <w:lang w:val="fr-FR"/>
        </w:rPr>
        <w:t>de garantie C</w:t>
      </w:r>
      <w:r>
        <w:rPr>
          <w:sz w:val="24"/>
          <w:szCs w:val="24"/>
          <w:lang w:val="fr-FR"/>
        </w:rPr>
        <w:t xml:space="preserve">OSME pour le soutien des PME et </w:t>
      </w:r>
      <w:r w:rsidR="00633A6C" w:rsidRPr="00633A6C">
        <w:rPr>
          <w:sz w:val="24"/>
          <w:szCs w:val="24"/>
          <w:lang w:val="fr-FR"/>
        </w:rPr>
        <w:t>de la forte demande de l'instrument de garantie InnovFin, nous souhaitons vivement compter sur l'UE pour que ces instruments bénéficient d'un financement suffisant. En conséquence, nous avons été ravis d'apprendre que le financement initialement envisagé pour COSME a été plus que doublé surtout grâce à EFSI 2.0. Nous demandons donc aux</w:t>
      </w:r>
      <w:r w:rsidR="007C1A1A">
        <w:rPr>
          <w:sz w:val="24"/>
          <w:szCs w:val="24"/>
          <w:lang w:val="fr-FR"/>
        </w:rPr>
        <w:t xml:space="preserve"> </w:t>
      </w:r>
      <w:r w:rsidR="00633A6C" w:rsidRPr="00633A6C">
        <w:rPr>
          <w:sz w:val="24"/>
          <w:szCs w:val="24"/>
          <w:lang w:val="fr-FR"/>
        </w:rPr>
        <w:t>législateurs européens de continuer à faire en sorte que les besoins financiers des PME soient reconnus et atteints, en veillant à ce que des ressources financières suffisantes soient disponibles.</w:t>
      </w:r>
    </w:p>
    <w:p w:rsidR="007B01EE" w:rsidRPr="007927C0" w:rsidRDefault="007B01EE" w:rsidP="007C1A1A">
      <w:pPr>
        <w:jc w:val="both"/>
        <w:rPr>
          <w:sz w:val="24"/>
          <w:szCs w:val="24"/>
          <w:lang w:val="fr-FR"/>
        </w:rPr>
      </w:pPr>
    </w:p>
    <w:p w:rsidR="009A6220" w:rsidRDefault="009A6220" w:rsidP="009A6220">
      <w:pPr>
        <w:pStyle w:val="ListParagraph"/>
        <w:ind w:left="360"/>
        <w:jc w:val="both"/>
        <w:rPr>
          <w:b/>
          <w:sz w:val="24"/>
          <w:szCs w:val="24"/>
          <w:lang w:val="fr-FR"/>
        </w:rPr>
      </w:pPr>
    </w:p>
    <w:p w:rsidR="00633A6C" w:rsidRPr="00DA3D9A" w:rsidRDefault="00DA3D9A" w:rsidP="00DA3D9A">
      <w:pPr>
        <w:pStyle w:val="ListParagraph"/>
        <w:numPr>
          <w:ilvl w:val="0"/>
          <w:numId w:val="2"/>
        </w:numPr>
        <w:jc w:val="both"/>
        <w:rPr>
          <w:b/>
          <w:sz w:val="24"/>
          <w:szCs w:val="24"/>
          <w:lang w:val="fr-FR"/>
        </w:rPr>
      </w:pPr>
      <w:r w:rsidRPr="00DA3D9A">
        <w:rPr>
          <w:b/>
          <w:sz w:val="24"/>
          <w:szCs w:val="24"/>
          <w:lang w:val="fr-FR"/>
        </w:rPr>
        <w:t>Domaine d’application pour répondre aux besoins des PME</w:t>
      </w:r>
    </w:p>
    <w:p w:rsidR="00633A6C" w:rsidRDefault="00633A6C" w:rsidP="007C1A1A">
      <w:pPr>
        <w:jc w:val="both"/>
        <w:rPr>
          <w:sz w:val="24"/>
          <w:szCs w:val="24"/>
          <w:lang w:val="fr-FR"/>
        </w:rPr>
      </w:pPr>
      <w:r w:rsidRPr="00633A6C">
        <w:rPr>
          <w:sz w:val="24"/>
          <w:szCs w:val="24"/>
          <w:lang w:val="fr-FR"/>
        </w:rPr>
        <w:t xml:space="preserve">Les </w:t>
      </w:r>
      <w:r w:rsidR="00DA3D9A">
        <w:rPr>
          <w:sz w:val="24"/>
          <w:szCs w:val="24"/>
          <w:lang w:val="fr-FR"/>
        </w:rPr>
        <w:t>conditions de recevabilité</w:t>
      </w:r>
      <w:r w:rsidRPr="00633A6C">
        <w:rPr>
          <w:sz w:val="24"/>
          <w:szCs w:val="24"/>
          <w:lang w:val="fr-FR"/>
        </w:rPr>
        <w:t xml:space="preserve"> des opérations devraient être définis en fonction des besoins des PME. À cet égard, nous saluons chaleureusement le changement d'InnovFin couvrant à l'avenir également les produits mezzanine comme les prêts subordonnés, qui sont utilisés par les PME traditionnelles comme quasi-instruments de capitaux propres.</w:t>
      </w:r>
    </w:p>
    <w:p w:rsidR="007B01EE" w:rsidRPr="00633A6C" w:rsidRDefault="007B01EE" w:rsidP="007C1A1A">
      <w:pPr>
        <w:jc w:val="both"/>
        <w:rPr>
          <w:sz w:val="24"/>
          <w:szCs w:val="24"/>
          <w:lang w:val="fr-FR"/>
        </w:rPr>
      </w:pPr>
    </w:p>
    <w:p w:rsidR="000D0BD4" w:rsidRPr="00B557C4" w:rsidRDefault="00FB6E3E" w:rsidP="0089113D">
      <w:pPr>
        <w:ind w:left="284" w:hanging="284"/>
        <w:jc w:val="both"/>
        <w:rPr>
          <w:b/>
          <w:sz w:val="24"/>
          <w:szCs w:val="24"/>
          <w:lang w:val="fr-FR"/>
        </w:rPr>
      </w:pPr>
      <w:r w:rsidRPr="00B557C4">
        <w:rPr>
          <w:b/>
          <w:sz w:val="24"/>
          <w:szCs w:val="24"/>
          <w:lang w:val="fr-FR"/>
        </w:rPr>
        <w:t>•</w:t>
      </w:r>
      <w:r w:rsidRPr="00B557C4">
        <w:rPr>
          <w:b/>
          <w:sz w:val="24"/>
          <w:szCs w:val="24"/>
          <w:lang w:val="fr-FR"/>
        </w:rPr>
        <w:tab/>
      </w:r>
      <w:r w:rsidR="000D0BD4" w:rsidRPr="00B557C4">
        <w:rPr>
          <w:b/>
          <w:sz w:val="24"/>
          <w:szCs w:val="24"/>
          <w:lang w:val="fr-FR"/>
        </w:rPr>
        <w:t>Abol</w:t>
      </w:r>
      <w:r w:rsidR="00B557C4" w:rsidRPr="00B557C4">
        <w:rPr>
          <w:b/>
          <w:sz w:val="24"/>
          <w:szCs w:val="24"/>
          <w:lang w:val="fr-FR"/>
        </w:rPr>
        <w:t xml:space="preserve">ition du seuil de </w:t>
      </w:r>
      <w:r w:rsidR="000D0BD4" w:rsidRPr="00B557C4">
        <w:rPr>
          <w:b/>
          <w:sz w:val="24"/>
          <w:szCs w:val="24"/>
          <w:lang w:val="fr-FR"/>
        </w:rPr>
        <w:t xml:space="preserve">150 000 EUR </w:t>
      </w:r>
      <w:r w:rsidR="00B557C4">
        <w:rPr>
          <w:b/>
          <w:sz w:val="24"/>
          <w:szCs w:val="24"/>
          <w:lang w:val="fr-FR"/>
        </w:rPr>
        <w:t>dans</w:t>
      </w:r>
      <w:r w:rsidR="000D0BD4" w:rsidRPr="00B557C4">
        <w:rPr>
          <w:b/>
          <w:sz w:val="24"/>
          <w:szCs w:val="24"/>
          <w:lang w:val="fr-FR"/>
        </w:rPr>
        <w:t xml:space="preserve"> COSME</w:t>
      </w:r>
    </w:p>
    <w:p w:rsidR="00CB40C2" w:rsidRDefault="00633A6C" w:rsidP="00927208">
      <w:pPr>
        <w:jc w:val="both"/>
        <w:rPr>
          <w:sz w:val="24"/>
          <w:szCs w:val="24"/>
          <w:lang w:val="fr-FR"/>
        </w:rPr>
      </w:pPr>
      <w:r w:rsidRPr="00633A6C">
        <w:rPr>
          <w:sz w:val="24"/>
          <w:szCs w:val="24"/>
          <w:lang w:val="fr-FR"/>
        </w:rPr>
        <w:t xml:space="preserve">Le </w:t>
      </w:r>
      <w:r w:rsidR="00927208">
        <w:rPr>
          <w:sz w:val="24"/>
          <w:szCs w:val="24"/>
          <w:lang w:val="fr-FR"/>
        </w:rPr>
        <w:t>programme</w:t>
      </w:r>
      <w:r w:rsidRPr="00633A6C">
        <w:rPr>
          <w:sz w:val="24"/>
          <w:szCs w:val="24"/>
          <w:lang w:val="fr-FR"/>
        </w:rPr>
        <w:t xml:space="preserve"> de garantie COSME permet de financer des PME jusqu'à 150 000 EUR pour tout type de PME. Au-delà de ce seuil</w:t>
      </w:r>
      <w:r w:rsidR="00927208">
        <w:rPr>
          <w:sz w:val="24"/>
          <w:szCs w:val="24"/>
          <w:lang w:val="fr-FR"/>
        </w:rPr>
        <w:t>,</w:t>
      </w:r>
      <w:r w:rsidRPr="00633A6C">
        <w:rPr>
          <w:sz w:val="24"/>
          <w:szCs w:val="24"/>
          <w:lang w:val="fr-FR"/>
        </w:rPr>
        <w:t xml:space="preserve"> qui a été introduit récemment dans la pé</w:t>
      </w:r>
      <w:r w:rsidR="00927208">
        <w:rPr>
          <w:sz w:val="24"/>
          <w:szCs w:val="24"/>
          <w:lang w:val="fr-FR"/>
        </w:rPr>
        <w:t xml:space="preserve">riode du programme en cours, </w:t>
      </w:r>
      <w:r w:rsidRPr="00633A6C">
        <w:rPr>
          <w:sz w:val="24"/>
          <w:szCs w:val="24"/>
          <w:lang w:val="fr-FR"/>
        </w:rPr>
        <w:t>COSME n'est applica</w:t>
      </w:r>
      <w:r w:rsidR="00927208">
        <w:rPr>
          <w:sz w:val="24"/>
          <w:szCs w:val="24"/>
          <w:lang w:val="fr-FR"/>
        </w:rPr>
        <w:t>ble que si la PME ne satisfait</w:t>
      </w:r>
      <w:r w:rsidRPr="00633A6C">
        <w:rPr>
          <w:sz w:val="24"/>
          <w:szCs w:val="24"/>
          <w:lang w:val="fr-FR"/>
        </w:rPr>
        <w:t xml:space="preserve"> aucun des critères admissible</w:t>
      </w:r>
      <w:r w:rsidR="00927208">
        <w:rPr>
          <w:sz w:val="24"/>
          <w:szCs w:val="24"/>
          <w:lang w:val="fr-FR"/>
        </w:rPr>
        <w:t>s</w:t>
      </w:r>
      <w:r w:rsidRPr="00633A6C">
        <w:rPr>
          <w:sz w:val="24"/>
          <w:szCs w:val="24"/>
          <w:lang w:val="fr-FR"/>
        </w:rPr>
        <w:t xml:space="preserve"> au titre d'InnovFin. Étant donné que la délimitation nécessaire n'est pas toujours évidente </w:t>
      </w:r>
      <w:r w:rsidR="00407256">
        <w:rPr>
          <w:sz w:val="24"/>
          <w:szCs w:val="24"/>
          <w:lang w:val="fr-FR"/>
        </w:rPr>
        <w:t>mais plutôt encombrante</w:t>
      </w:r>
      <w:r w:rsidRPr="00633A6C">
        <w:rPr>
          <w:sz w:val="24"/>
          <w:szCs w:val="24"/>
          <w:lang w:val="fr-FR"/>
        </w:rPr>
        <w:t xml:space="preserve">, nous demandons de l'abolir entièrement et de revenir à l'ancien statu quo du </w:t>
      </w:r>
      <w:r w:rsidR="00927208">
        <w:rPr>
          <w:sz w:val="24"/>
          <w:szCs w:val="24"/>
          <w:lang w:val="fr-FR"/>
        </w:rPr>
        <w:t>CIP</w:t>
      </w:r>
      <w:r w:rsidRPr="00633A6C">
        <w:rPr>
          <w:sz w:val="24"/>
          <w:szCs w:val="24"/>
          <w:lang w:val="fr-FR"/>
        </w:rPr>
        <w:t xml:space="preserve"> et </w:t>
      </w:r>
      <w:r w:rsidR="00927208">
        <w:rPr>
          <w:sz w:val="24"/>
          <w:szCs w:val="24"/>
          <w:lang w:val="fr-FR"/>
        </w:rPr>
        <w:t xml:space="preserve">MAP </w:t>
      </w:r>
      <w:r w:rsidRPr="00633A6C">
        <w:rPr>
          <w:sz w:val="24"/>
          <w:szCs w:val="24"/>
          <w:lang w:val="fr-FR"/>
        </w:rPr>
        <w:t xml:space="preserve">pour mieux répondre aux besoins </w:t>
      </w:r>
      <w:r w:rsidR="00927208">
        <w:rPr>
          <w:sz w:val="24"/>
          <w:szCs w:val="24"/>
          <w:lang w:val="fr-FR"/>
        </w:rPr>
        <w:t xml:space="preserve">de marché </w:t>
      </w:r>
      <w:r w:rsidRPr="00633A6C">
        <w:rPr>
          <w:sz w:val="24"/>
          <w:szCs w:val="24"/>
          <w:lang w:val="fr-FR"/>
        </w:rPr>
        <w:t>des PME</w:t>
      </w:r>
      <w:r w:rsidR="00927208">
        <w:rPr>
          <w:sz w:val="24"/>
          <w:szCs w:val="24"/>
          <w:lang w:val="fr-FR"/>
        </w:rPr>
        <w:t>.</w:t>
      </w:r>
    </w:p>
    <w:p w:rsidR="007B01EE" w:rsidRPr="00927208" w:rsidRDefault="007B01EE" w:rsidP="00927208">
      <w:pPr>
        <w:jc w:val="both"/>
        <w:rPr>
          <w:sz w:val="24"/>
          <w:szCs w:val="24"/>
          <w:lang w:val="fr-FR"/>
        </w:rPr>
      </w:pPr>
    </w:p>
    <w:p w:rsidR="00FB6E3E" w:rsidRPr="00407256" w:rsidRDefault="004E1E8D" w:rsidP="0089113D">
      <w:pPr>
        <w:ind w:left="284" w:hanging="284"/>
        <w:jc w:val="both"/>
        <w:rPr>
          <w:b/>
          <w:sz w:val="24"/>
          <w:szCs w:val="24"/>
          <w:lang w:val="fr-FR"/>
        </w:rPr>
      </w:pPr>
      <w:r w:rsidRPr="00407256">
        <w:rPr>
          <w:b/>
          <w:sz w:val="24"/>
          <w:szCs w:val="24"/>
          <w:lang w:val="fr-FR"/>
        </w:rPr>
        <w:t>•</w:t>
      </w:r>
      <w:r w:rsidR="00FB6E3E" w:rsidRPr="00407256">
        <w:rPr>
          <w:b/>
          <w:sz w:val="24"/>
          <w:szCs w:val="24"/>
          <w:lang w:val="fr-FR"/>
        </w:rPr>
        <w:tab/>
      </w:r>
      <w:r w:rsidR="00407256" w:rsidRPr="00407256">
        <w:rPr>
          <w:b/>
          <w:sz w:val="24"/>
          <w:szCs w:val="24"/>
          <w:lang w:val="fr-FR"/>
        </w:rPr>
        <w:t>Régime l</w:t>
      </w:r>
      <w:r w:rsidR="00407256">
        <w:rPr>
          <w:b/>
          <w:sz w:val="24"/>
          <w:szCs w:val="24"/>
          <w:lang w:val="fr-FR"/>
        </w:rPr>
        <w:t xml:space="preserve">égislatif </w:t>
      </w:r>
      <w:r w:rsidR="00CF2FB9">
        <w:rPr>
          <w:b/>
          <w:sz w:val="24"/>
          <w:szCs w:val="24"/>
          <w:lang w:val="fr-FR"/>
        </w:rPr>
        <w:t>clairement</w:t>
      </w:r>
      <w:r w:rsidR="00407256" w:rsidRPr="00407256">
        <w:rPr>
          <w:b/>
          <w:sz w:val="24"/>
          <w:szCs w:val="24"/>
          <w:lang w:val="fr-FR"/>
        </w:rPr>
        <w:t xml:space="preserve"> défini</w:t>
      </w:r>
    </w:p>
    <w:p w:rsidR="00473F03" w:rsidRDefault="00407256" w:rsidP="00407256">
      <w:pPr>
        <w:jc w:val="both"/>
        <w:rPr>
          <w:sz w:val="24"/>
          <w:szCs w:val="24"/>
          <w:lang w:val="fr-FR"/>
        </w:rPr>
      </w:pPr>
      <w:r w:rsidRPr="00407256">
        <w:rPr>
          <w:sz w:val="24"/>
          <w:szCs w:val="24"/>
          <w:lang w:val="fr-FR"/>
        </w:rPr>
        <w:t>Afin d'atteindre les PME aussi facilement et efficacement que po</w:t>
      </w:r>
      <w:r>
        <w:rPr>
          <w:sz w:val="24"/>
          <w:szCs w:val="24"/>
          <w:lang w:val="fr-FR"/>
        </w:rPr>
        <w:t xml:space="preserve">ssible, il est impératif que la combinaison </w:t>
      </w:r>
      <w:r w:rsidRPr="00407256">
        <w:rPr>
          <w:sz w:val="24"/>
          <w:szCs w:val="24"/>
          <w:lang w:val="fr-FR"/>
        </w:rPr>
        <w:t>de différents types de financement de l'U</w:t>
      </w:r>
      <w:r>
        <w:rPr>
          <w:sz w:val="24"/>
          <w:szCs w:val="24"/>
          <w:lang w:val="fr-FR"/>
        </w:rPr>
        <w:t>E soit</w:t>
      </w:r>
      <w:r w:rsidRPr="00407256">
        <w:rPr>
          <w:sz w:val="24"/>
          <w:szCs w:val="24"/>
          <w:lang w:val="fr-FR"/>
        </w:rPr>
        <w:t xml:space="preserve"> possible au niveau des bénéficiaires, conformément à un régime législatif clair</w:t>
      </w:r>
      <w:r>
        <w:rPr>
          <w:sz w:val="24"/>
          <w:szCs w:val="24"/>
          <w:lang w:val="fr-FR"/>
        </w:rPr>
        <w:t xml:space="preserve"> et proprement défini</w:t>
      </w:r>
      <w:r w:rsidRPr="00407256">
        <w:rPr>
          <w:sz w:val="24"/>
          <w:szCs w:val="24"/>
          <w:lang w:val="fr-FR"/>
        </w:rPr>
        <w:t>. Les situations dans lesquelles</w:t>
      </w:r>
      <w:r w:rsidR="00CF2FB9">
        <w:rPr>
          <w:sz w:val="24"/>
          <w:szCs w:val="24"/>
          <w:lang w:val="fr-FR"/>
        </w:rPr>
        <w:t xml:space="preserve"> (par exemple)</w:t>
      </w:r>
      <w:r w:rsidRPr="00407256">
        <w:rPr>
          <w:sz w:val="24"/>
          <w:szCs w:val="24"/>
          <w:lang w:val="fr-FR"/>
        </w:rPr>
        <w:t xml:space="preserve"> l'article 59, paragraphe 8, </w:t>
      </w:r>
      <w:r w:rsidR="00CF2FB9">
        <w:rPr>
          <w:sz w:val="24"/>
          <w:szCs w:val="24"/>
          <w:lang w:val="fr-FR"/>
        </w:rPr>
        <w:t xml:space="preserve">peut être interpréter dans les sens qu’un </w:t>
      </w:r>
      <w:r w:rsidRPr="00407256">
        <w:rPr>
          <w:sz w:val="24"/>
          <w:szCs w:val="24"/>
          <w:lang w:val="fr-FR"/>
        </w:rPr>
        <w:t>financement COSME pour le secteur agricole ne peut être combiné avec des ressources du Fonds européen agricole pour le développement rural (</w:t>
      </w:r>
      <w:r w:rsidR="00CF2FB9">
        <w:rPr>
          <w:sz w:val="24"/>
          <w:szCs w:val="24"/>
          <w:lang w:val="fr-FR"/>
        </w:rPr>
        <w:t>EAFRD</w:t>
      </w:r>
      <w:r w:rsidRPr="00407256">
        <w:rPr>
          <w:sz w:val="24"/>
          <w:szCs w:val="24"/>
          <w:lang w:val="fr-FR"/>
        </w:rPr>
        <w:t>)</w:t>
      </w:r>
      <w:r w:rsidR="00CF2FB9">
        <w:rPr>
          <w:sz w:val="24"/>
          <w:szCs w:val="24"/>
          <w:lang w:val="fr-FR"/>
        </w:rPr>
        <w:t xml:space="preserve"> par un Etat membre</w:t>
      </w:r>
      <w:r w:rsidRPr="00407256">
        <w:rPr>
          <w:sz w:val="24"/>
          <w:szCs w:val="24"/>
          <w:lang w:val="fr-FR"/>
        </w:rPr>
        <w:t>, tandis que la directi</w:t>
      </w:r>
      <w:r w:rsidR="00CF2FB9">
        <w:rPr>
          <w:sz w:val="24"/>
          <w:szCs w:val="24"/>
          <w:lang w:val="fr-FR"/>
        </w:rPr>
        <w:t xml:space="preserve">on générale de l'agriculture </w:t>
      </w:r>
      <w:r w:rsidRPr="00407256">
        <w:rPr>
          <w:sz w:val="24"/>
          <w:szCs w:val="24"/>
          <w:lang w:val="fr-FR"/>
        </w:rPr>
        <w:t xml:space="preserve">indique que cela est </w:t>
      </w:r>
      <w:r w:rsidR="00CF2FB9">
        <w:rPr>
          <w:sz w:val="24"/>
          <w:szCs w:val="24"/>
          <w:lang w:val="fr-FR"/>
        </w:rPr>
        <w:t xml:space="preserve">bien </w:t>
      </w:r>
      <w:r w:rsidRPr="00407256">
        <w:rPr>
          <w:sz w:val="24"/>
          <w:szCs w:val="24"/>
          <w:lang w:val="fr-FR"/>
        </w:rPr>
        <w:t>possible au niveau du bénéficiaire</w:t>
      </w:r>
      <w:r w:rsidR="00CF2FB9">
        <w:rPr>
          <w:sz w:val="24"/>
          <w:szCs w:val="24"/>
          <w:lang w:val="fr-FR"/>
        </w:rPr>
        <w:t>,</w:t>
      </w:r>
      <w:r w:rsidRPr="00407256">
        <w:rPr>
          <w:sz w:val="24"/>
          <w:szCs w:val="24"/>
          <w:lang w:val="fr-FR"/>
        </w:rPr>
        <w:t xml:space="preserve"> </w:t>
      </w:r>
      <w:r w:rsidR="00CF2FB9">
        <w:rPr>
          <w:sz w:val="24"/>
          <w:szCs w:val="24"/>
          <w:lang w:val="fr-FR"/>
        </w:rPr>
        <w:t>doiven</w:t>
      </w:r>
      <w:r w:rsidRPr="00407256">
        <w:rPr>
          <w:sz w:val="24"/>
          <w:szCs w:val="24"/>
          <w:lang w:val="fr-FR"/>
        </w:rPr>
        <w:t>t être évité</w:t>
      </w:r>
      <w:r w:rsidR="00DE513F">
        <w:rPr>
          <w:sz w:val="24"/>
          <w:szCs w:val="24"/>
          <w:lang w:val="fr-FR"/>
        </w:rPr>
        <w:t>es</w:t>
      </w:r>
      <w:r w:rsidRPr="00407256">
        <w:rPr>
          <w:sz w:val="24"/>
          <w:szCs w:val="24"/>
          <w:lang w:val="fr-FR"/>
        </w:rPr>
        <w:t>.</w:t>
      </w:r>
    </w:p>
    <w:p w:rsidR="007B01EE" w:rsidRDefault="007B01EE" w:rsidP="00407256">
      <w:pPr>
        <w:jc w:val="both"/>
        <w:rPr>
          <w:sz w:val="24"/>
          <w:szCs w:val="24"/>
          <w:lang w:val="fr-FR"/>
        </w:rPr>
      </w:pPr>
    </w:p>
    <w:p w:rsidR="009A39DA" w:rsidRPr="0048214C" w:rsidRDefault="00FB6E3E" w:rsidP="0089113D">
      <w:pPr>
        <w:ind w:left="284" w:hanging="284"/>
        <w:jc w:val="both"/>
        <w:rPr>
          <w:b/>
          <w:sz w:val="24"/>
          <w:szCs w:val="24"/>
          <w:lang w:val="fr-FR"/>
        </w:rPr>
      </w:pPr>
      <w:r w:rsidRPr="0048214C">
        <w:rPr>
          <w:b/>
          <w:sz w:val="24"/>
          <w:szCs w:val="24"/>
          <w:lang w:val="fr-FR"/>
        </w:rPr>
        <w:t>•</w:t>
      </w:r>
      <w:r w:rsidRPr="0048214C">
        <w:rPr>
          <w:b/>
          <w:sz w:val="24"/>
          <w:szCs w:val="24"/>
          <w:lang w:val="fr-FR"/>
        </w:rPr>
        <w:tab/>
      </w:r>
      <w:r w:rsidR="0048214C" w:rsidRPr="0048214C">
        <w:rPr>
          <w:b/>
          <w:sz w:val="24"/>
          <w:szCs w:val="24"/>
          <w:lang w:val="fr-FR"/>
        </w:rPr>
        <w:t>Les exigences règlementaires doivent être aussi faibles que possible</w:t>
      </w:r>
    </w:p>
    <w:p w:rsidR="0048214C" w:rsidRDefault="0048214C" w:rsidP="0048214C">
      <w:pPr>
        <w:jc w:val="both"/>
        <w:rPr>
          <w:sz w:val="24"/>
          <w:szCs w:val="24"/>
          <w:lang w:val="fr-FR"/>
        </w:rPr>
      </w:pPr>
      <w:r w:rsidRPr="0048214C">
        <w:rPr>
          <w:sz w:val="24"/>
          <w:szCs w:val="24"/>
          <w:lang w:val="fr-FR"/>
        </w:rPr>
        <w:t xml:space="preserve">Les exigences </w:t>
      </w:r>
      <w:r w:rsidR="00F156FB">
        <w:rPr>
          <w:sz w:val="24"/>
          <w:szCs w:val="24"/>
          <w:lang w:val="fr-FR"/>
        </w:rPr>
        <w:t xml:space="preserve">juridiques et réglementaires en matière de </w:t>
      </w:r>
      <w:r>
        <w:rPr>
          <w:sz w:val="24"/>
          <w:szCs w:val="24"/>
          <w:lang w:val="fr-FR"/>
        </w:rPr>
        <w:t xml:space="preserve">rapports </w:t>
      </w:r>
      <w:r w:rsidR="00F156FB">
        <w:rPr>
          <w:sz w:val="24"/>
          <w:szCs w:val="24"/>
          <w:lang w:val="fr-FR"/>
        </w:rPr>
        <w:t xml:space="preserve">et de déclarations </w:t>
      </w:r>
      <w:r w:rsidRPr="0048214C">
        <w:rPr>
          <w:sz w:val="24"/>
          <w:szCs w:val="24"/>
          <w:lang w:val="fr-FR"/>
        </w:rPr>
        <w:t>prévu</w:t>
      </w:r>
      <w:r w:rsidR="00F156FB">
        <w:rPr>
          <w:sz w:val="24"/>
          <w:szCs w:val="24"/>
          <w:lang w:val="fr-FR"/>
        </w:rPr>
        <w:t>e</w:t>
      </w:r>
      <w:r w:rsidRPr="0048214C">
        <w:rPr>
          <w:sz w:val="24"/>
          <w:szCs w:val="24"/>
          <w:lang w:val="fr-FR"/>
        </w:rPr>
        <w:t>s devraient êt</w:t>
      </w:r>
      <w:r w:rsidR="00F156FB">
        <w:rPr>
          <w:sz w:val="24"/>
          <w:szCs w:val="24"/>
          <w:lang w:val="fr-FR"/>
        </w:rPr>
        <w:t xml:space="preserve">re aussi simples que possible, </w:t>
      </w:r>
      <w:r w:rsidRPr="0048214C">
        <w:rPr>
          <w:sz w:val="24"/>
          <w:szCs w:val="24"/>
          <w:lang w:val="fr-FR"/>
        </w:rPr>
        <w:t xml:space="preserve">préservant </w:t>
      </w:r>
      <w:r w:rsidR="00F156FB">
        <w:rPr>
          <w:sz w:val="24"/>
          <w:szCs w:val="24"/>
          <w:lang w:val="fr-FR"/>
        </w:rPr>
        <w:t xml:space="preserve">ainsi </w:t>
      </w:r>
      <w:r w:rsidRPr="0048214C">
        <w:rPr>
          <w:sz w:val="24"/>
          <w:szCs w:val="24"/>
          <w:lang w:val="fr-FR"/>
        </w:rPr>
        <w:t>le principe essentiel de proportionnalité.</w:t>
      </w:r>
    </w:p>
    <w:p w:rsidR="00D7378D" w:rsidRPr="0048214C" w:rsidRDefault="00D7378D" w:rsidP="0048214C">
      <w:pPr>
        <w:jc w:val="both"/>
        <w:rPr>
          <w:sz w:val="24"/>
          <w:szCs w:val="24"/>
          <w:lang w:val="fr-FR"/>
        </w:rPr>
      </w:pPr>
    </w:p>
    <w:p w:rsidR="00F156FB" w:rsidRPr="00F156FB" w:rsidRDefault="00F156FB" w:rsidP="00D132BA">
      <w:pPr>
        <w:pStyle w:val="ListParagraph"/>
        <w:numPr>
          <w:ilvl w:val="0"/>
          <w:numId w:val="2"/>
        </w:numPr>
        <w:jc w:val="both"/>
        <w:rPr>
          <w:sz w:val="24"/>
          <w:szCs w:val="24"/>
          <w:lang w:val="fr-FR"/>
        </w:rPr>
      </w:pPr>
      <w:r w:rsidRPr="00F156FB">
        <w:rPr>
          <w:b/>
          <w:sz w:val="24"/>
          <w:szCs w:val="24"/>
          <w:lang w:val="fr-FR"/>
        </w:rPr>
        <w:t xml:space="preserve">Une plus grande complémentarité et synergie </w:t>
      </w:r>
      <w:r>
        <w:rPr>
          <w:b/>
          <w:sz w:val="24"/>
          <w:szCs w:val="24"/>
          <w:lang w:val="fr-FR"/>
        </w:rPr>
        <w:t>entre instruments et</w:t>
      </w:r>
      <w:r w:rsidRPr="00F156FB">
        <w:rPr>
          <w:b/>
          <w:sz w:val="24"/>
          <w:szCs w:val="24"/>
          <w:lang w:val="fr-FR"/>
        </w:rPr>
        <w:t xml:space="preserve"> acteurs</w:t>
      </w:r>
      <w:r>
        <w:rPr>
          <w:b/>
          <w:sz w:val="24"/>
          <w:szCs w:val="24"/>
          <w:lang w:val="fr-FR"/>
        </w:rPr>
        <w:t xml:space="preserve"> existants</w:t>
      </w:r>
      <w:r w:rsidRPr="00F156FB">
        <w:rPr>
          <w:sz w:val="24"/>
          <w:szCs w:val="24"/>
          <w:lang w:val="fr-FR"/>
        </w:rPr>
        <w:t xml:space="preserve"> </w:t>
      </w:r>
    </w:p>
    <w:p w:rsidR="00F156FB" w:rsidRDefault="00F156FB" w:rsidP="00F156FB">
      <w:pPr>
        <w:jc w:val="both"/>
        <w:rPr>
          <w:sz w:val="24"/>
          <w:szCs w:val="24"/>
          <w:lang w:val="fr-FR"/>
        </w:rPr>
      </w:pPr>
      <w:r w:rsidRPr="00F156FB">
        <w:rPr>
          <w:sz w:val="24"/>
          <w:szCs w:val="24"/>
          <w:lang w:val="fr-FR"/>
        </w:rPr>
        <w:t xml:space="preserve">Les synergies devraient être poursuivies à tous les niveaux, </w:t>
      </w:r>
      <w:r w:rsidR="00FF3BCF">
        <w:rPr>
          <w:sz w:val="24"/>
          <w:szCs w:val="24"/>
          <w:lang w:val="fr-FR"/>
        </w:rPr>
        <w:t xml:space="preserve">c.a.d. au niveau </w:t>
      </w:r>
      <w:r w:rsidRPr="00F156FB">
        <w:rPr>
          <w:sz w:val="24"/>
          <w:szCs w:val="24"/>
          <w:lang w:val="fr-FR"/>
        </w:rPr>
        <w:t xml:space="preserve">régional, national et supranational, afin de créer des situations </w:t>
      </w:r>
      <w:r w:rsidR="00FF3BCF">
        <w:rPr>
          <w:sz w:val="24"/>
          <w:szCs w:val="24"/>
          <w:lang w:val="fr-FR"/>
        </w:rPr>
        <w:t xml:space="preserve">« </w:t>
      </w:r>
      <w:r w:rsidRPr="00F156FB">
        <w:rPr>
          <w:sz w:val="24"/>
          <w:szCs w:val="24"/>
          <w:lang w:val="fr-FR"/>
        </w:rPr>
        <w:t>gagnant-gagnant</w:t>
      </w:r>
      <w:r w:rsidR="00FF3BCF">
        <w:rPr>
          <w:sz w:val="24"/>
          <w:szCs w:val="24"/>
          <w:lang w:val="fr-FR"/>
        </w:rPr>
        <w:t xml:space="preserve"> »</w:t>
      </w:r>
      <w:r w:rsidRPr="00F156FB">
        <w:rPr>
          <w:sz w:val="24"/>
          <w:szCs w:val="24"/>
          <w:lang w:val="fr-FR"/>
        </w:rPr>
        <w:t xml:space="preserve"> pour tous les acteurs de la chaîne de valeur de garantie, y compris les autorités publiques, les institutions de garantie, les banques et les PME.</w:t>
      </w:r>
    </w:p>
    <w:p w:rsidR="007B01EE" w:rsidRPr="00F156FB" w:rsidRDefault="007B01EE" w:rsidP="00F156FB">
      <w:pPr>
        <w:jc w:val="both"/>
        <w:rPr>
          <w:sz w:val="24"/>
          <w:szCs w:val="24"/>
          <w:lang w:val="fr-FR"/>
        </w:rPr>
      </w:pPr>
    </w:p>
    <w:p w:rsidR="009A6220" w:rsidRDefault="009A6220">
      <w:pPr>
        <w:rPr>
          <w:b/>
          <w:sz w:val="24"/>
          <w:szCs w:val="24"/>
          <w:lang w:val="fr-FR"/>
        </w:rPr>
      </w:pPr>
      <w:r>
        <w:rPr>
          <w:b/>
          <w:sz w:val="24"/>
          <w:szCs w:val="24"/>
          <w:lang w:val="fr-FR"/>
        </w:rPr>
        <w:br w:type="page"/>
      </w:r>
    </w:p>
    <w:p w:rsidR="009A6220" w:rsidRDefault="009A6220" w:rsidP="009A6220">
      <w:pPr>
        <w:pStyle w:val="ListParagraph"/>
        <w:ind w:left="360"/>
        <w:jc w:val="both"/>
        <w:rPr>
          <w:b/>
          <w:sz w:val="24"/>
          <w:szCs w:val="24"/>
          <w:lang w:val="fr-FR"/>
        </w:rPr>
      </w:pPr>
      <w:bookmarkStart w:id="0" w:name="_GoBack"/>
      <w:bookmarkEnd w:id="0"/>
    </w:p>
    <w:p w:rsidR="00F156FB" w:rsidRPr="00F156FB" w:rsidRDefault="00F156FB" w:rsidP="00F156FB">
      <w:pPr>
        <w:pStyle w:val="ListParagraph"/>
        <w:numPr>
          <w:ilvl w:val="0"/>
          <w:numId w:val="2"/>
        </w:numPr>
        <w:jc w:val="both"/>
        <w:rPr>
          <w:b/>
          <w:sz w:val="24"/>
          <w:szCs w:val="24"/>
          <w:lang w:val="fr-FR"/>
        </w:rPr>
      </w:pPr>
      <w:r w:rsidRPr="00F156FB">
        <w:rPr>
          <w:b/>
          <w:sz w:val="24"/>
          <w:szCs w:val="24"/>
          <w:lang w:val="fr-FR"/>
        </w:rPr>
        <w:t>Amélioration de la base de données</w:t>
      </w:r>
    </w:p>
    <w:p w:rsidR="00F156FB" w:rsidRPr="00F156FB" w:rsidRDefault="002D46A6" w:rsidP="00F156FB">
      <w:pPr>
        <w:jc w:val="both"/>
        <w:rPr>
          <w:sz w:val="24"/>
          <w:szCs w:val="24"/>
          <w:lang w:val="fr-FR"/>
        </w:rPr>
      </w:pPr>
      <w:r>
        <w:rPr>
          <w:sz w:val="24"/>
          <w:szCs w:val="24"/>
          <w:lang w:val="fr-FR"/>
        </w:rPr>
        <w:t xml:space="preserve">Afin de disposer des </w:t>
      </w:r>
      <w:r w:rsidR="00F156FB" w:rsidRPr="00F156FB">
        <w:rPr>
          <w:sz w:val="24"/>
          <w:szCs w:val="24"/>
          <w:lang w:val="fr-FR"/>
        </w:rPr>
        <w:t xml:space="preserve">données </w:t>
      </w:r>
      <w:r>
        <w:rPr>
          <w:sz w:val="24"/>
          <w:szCs w:val="24"/>
          <w:lang w:val="fr-FR"/>
        </w:rPr>
        <w:t xml:space="preserve">nécessaires </w:t>
      </w:r>
      <w:r w:rsidR="00F156FB" w:rsidRPr="00F156FB">
        <w:rPr>
          <w:sz w:val="24"/>
          <w:szCs w:val="24"/>
          <w:lang w:val="fr-FR"/>
        </w:rPr>
        <w:t xml:space="preserve">pour </w:t>
      </w:r>
      <w:r>
        <w:rPr>
          <w:sz w:val="24"/>
          <w:szCs w:val="24"/>
          <w:lang w:val="fr-FR"/>
        </w:rPr>
        <w:t xml:space="preserve">les études </w:t>
      </w:r>
      <w:r w:rsidR="00F156FB" w:rsidRPr="00F156FB">
        <w:rPr>
          <w:sz w:val="24"/>
          <w:szCs w:val="24"/>
          <w:lang w:val="fr-FR"/>
        </w:rPr>
        <w:t>d'évaluation d</w:t>
      </w:r>
      <w:r>
        <w:rPr>
          <w:sz w:val="24"/>
          <w:szCs w:val="24"/>
          <w:lang w:val="fr-FR"/>
        </w:rPr>
        <w:t xml:space="preserve">e l'impact économique (mesurées sur base de </w:t>
      </w:r>
      <w:r w:rsidR="00F156FB" w:rsidRPr="00F156FB">
        <w:rPr>
          <w:sz w:val="24"/>
          <w:szCs w:val="24"/>
          <w:lang w:val="fr-FR"/>
        </w:rPr>
        <w:t>chiffres concernant l'innovation, l'emploi et la croissance)</w:t>
      </w:r>
      <w:r>
        <w:rPr>
          <w:sz w:val="24"/>
          <w:szCs w:val="24"/>
          <w:lang w:val="fr-FR"/>
        </w:rPr>
        <w:t xml:space="preserve">, ces données doivent être </w:t>
      </w:r>
      <w:r w:rsidRPr="002D46A6">
        <w:rPr>
          <w:sz w:val="24"/>
          <w:szCs w:val="24"/>
          <w:lang w:val="fr-FR"/>
        </w:rPr>
        <w:t>fiables et comparables</w:t>
      </w:r>
      <w:r w:rsidR="00F156FB" w:rsidRPr="00F156FB">
        <w:rPr>
          <w:sz w:val="24"/>
          <w:szCs w:val="24"/>
          <w:lang w:val="fr-FR"/>
        </w:rPr>
        <w:t xml:space="preserve">. L'AECM et ses organisations membres sont prêtes à contribuer à une meilleure collecte de données </w:t>
      </w:r>
      <w:r w:rsidR="00F156FB">
        <w:rPr>
          <w:sz w:val="24"/>
          <w:szCs w:val="24"/>
          <w:lang w:val="fr-FR"/>
        </w:rPr>
        <w:t>à l’aide</w:t>
      </w:r>
      <w:r w:rsidR="00F156FB" w:rsidRPr="00F156FB">
        <w:rPr>
          <w:sz w:val="24"/>
          <w:szCs w:val="24"/>
          <w:lang w:val="fr-FR"/>
        </w:rPr>
        <w:t xml:space="preserve"> de leurs réseaux.</w:t>
      </w:r>
    </w:p>
    <w:p w:rsidR="000D10AA" w:rsidRPr="00F156FB" w:rsidRDefault="00F156FB" w:rsidP="005D2A66">
      <w:pPr>
        <w:jc w:val="both"/>
        <w:rPr>
          <w:sz w:val="24"/>
          <w:szCs w:val="24"/>
          <w:lang w:val="fr-FR"/>
        </w:rPr>
      </w:pPr>
      <w:r w:rsidRPr="00F156FB">
        <w:rPr>
          <w:sz w:val="24"/>
          <w:szCs w:val="24"/>
          <w:lang w:val="fr-FR"/>
        </w:rPr>
        <w:t xml:space="preserve">Nous vous </w:t>
      </w:r>
      <w:r>
        <w:rPr>
          <w:sz w:val="24"/>
          <w:szCs w:val="24"/>
          <w:lang w:val="fr-FR"/>
        </w:rPr>
        <w:t>prions de</w:t>
      </w:r>
      <w:r w:rsidRPr="00F156FB">
        <w:rPr>
          <w:sz w:val="24"/>
          <w:szCs w:val="24"/>
          <w:lang w:val="fr-FR"/>
        </w:rPr>
        <w:t xml:space="preserve"> </w:t>
      </w:r>
      <w:r>
        <w:rPr>
          <w:sz w:val="24"/>
          <w:szCs w:val="24"/>
          <w:lang w:val="fr-FR"/>
        </w:rPr>
        <w:t xml:space="preserve">bien vouloir </w:t>
      </w:r>
      <w:r w:rsidRPr="00F156FB">
        <w:rPr>
          <w:sz w:val="24"/>
          <w:szCs w:val="24"/>
          <w:lang w:val="fr-FR"/>
        </w:rPr>
        <w:t>prendre en considération nos réflexions, telles qu</w:t>
      </w:r>
      <w:r>
        <w:rPr>
          <w:sz w:val="24"/>
          <w:szCs w:val="24"/>
          <w:lang w:val="fr-FR"/>
        </w:rPr>
        <w:t xml:space="preserve">’elles ont été </w:t>
      </w:r>
      <w:r w:rsidRPr="00F156FB">
        <w:rPr>
          <w:sz w:val="24"/>
          <w:szCs w:val="24"/>
          <w:lang w:val="fr-FR"/>
        </w:rPr>
        <w:t>expliquées dans</w:t>
      </w:r>
      <w:r>
        <w:rPr>
          <w:sz w:val="24"/>
          <w:szCs w:val="24"/>
          <w:lang w:val="fr-FR"/>
        </w:rPr>
        <w:t xml:space="preserve"> le présent document</w:t>
      </w:r>
      <w:r w:rsidRPr="00F156FB">
        <w:rPr>
          <w:sz w:val="24"/>
          <w:szCs w:val="24"/>
          <w:lang w:val="fr-FR"/>
        </w:rPr>
        <w:t xml:space="preserve">, dans votre </w:t>
      </w:r>
      <w:r>
        <w:rPr>
          <w:sz w:val="24"/>
          <w:szCs w:val="24"/>
          <w:lang w:val="fr-FR"/>
        </w:rPr>
        <w:t xml:space="preserve">examen </w:t>
      </w:r>
      <w:r w:rsidRPr="00F156FB">
        <w:rPr>
          <w:sz w:val="24"/>
          <w:szCs w:val="24"/>
          <w:lang w:val="fr-FR"/>
        </w:rPr>
        <w:t>à mi-parcours des instruments financiers de l'UE.</w:t>
      </w:r>
    </w:p>
    <w:p w:rsidR="004E1E8D" w:rsidRPr="00F156FB" w:rsidRDefault="00F156FB" w:rsidP="0089113D">
      <w:pPr>
        <w:ind w:left="284" w:hanging="284"/>
        <w:jc w:val="both"/>
        <w:rPr>
          <w:sz w:val="24"/>
          <w:szCs w:val="24"/>
          <w:lang w:val="fr-FR"/>
        </w:rPr>
      </w:pPr>
      <w:r w:rsidRPr="00F156FB">
        <w:rPr>
          <w:sz w:val="24"/>
          <w:szCs w:val="24"/>
          <w:lang w:val="fr-FR"/>
        </w:rPr>
        <w:t xml:space="preserve">Fait à </w:t>
      </w:r>
      <w:r w:rsidR="004E1E8D" w:rsidRPr="00F156FB">
        <w:rPr>
          <w:sz w:val="24"/>
          <w:szCs w:val="24"/>
          <w:lang w:val="fr-FR"/>
        </w:rPr>
        <w:t>Bru</w:t>
      </w:r>
      <w:r w:rsidRPr="00F156FB">
        <w:rPr>
          <w:sz w:val="24"/>
          <w:szCs w:val="24"/>
          <w:lang w:val="fr-FR"/>
        </w:rPr>
        <w:t>xelles</w:t>
      </w:r>
      <w:r w:rsidR="004E1E8D" w:rsidRPr="00F156FB">
        <w:rPr>
          <w:sz w:val="24"/>
          <w:szCs w:val="24"/>
          <w:lang w:val="fr-FR"/>
        </w:rPr>
        <w:t xml:space="preserve">, </w:t>
      </w:r>
      <w:r w:rsidRPr="00F156FB">
        <w:rPr>
          <w:sz w:val="24"/>
          <w:szCs w:val="24"/>
          <w:lang w:val="fr-FR"/>
        </w:rPr>
        <w:t xml:space="preserve">le </w:t>
      </w:r>
      <w:r w:rsidR="004E1E8D" w:rsidRPr="00F156FB">
        <w:rPr>
          <w:sz w:val="24"/>
          <w:szCs w:val="24"/>
          <w:lang w:val="fr-FR"/>
        </w:rPr>
        <w:t xml:space="preserve">26 </w:t>
      </w:r>
      <w:r w:rsidRPr="00F156FB">
        <w:rPr>
          <w:sz w:val="24"/>
          <w:szCs w:val="24"/>
          <w:lang w:val="fr-FR"/>
        </w:rPr>
        <w:t>janvier</w:t>
      </w:r>
      <w:r w:rsidR="004E1E8D" w:rsidRPr="00F156FB">
        <w:rPr>
          <w:sz w:val="24"/>
          <w:szCs w:val="24"/>
          <w:lang w:val="fr-FR"/>
        </w:rPr>
        <w:t xml:space="preserve"> 2017</w:t>
      </w:r>
    </w:p>
    <w:p w:rsidR="004E1E8D" w:rsidRPr="00F156FB" w:rsidRDefault="004E1E8D" w:rsidP="00CB406A">
      <w:pPr>
        <w:jc w:val="both"/>
        <w:rPr>
          <w:sz w:val="24"/>
          <w:szCs w:val="24"/>
          <w:lang w:val="fr-FR"/>
        </w:rPr>
      </w:pPr>
    </w:p>
    <w:p w:rsidR="00895AAB" w:rsidRPr="00F156FB" w:rsidRDefault="00895AAB" w:rsidP="00CB406A">
      <w:pPr>
        <w:jc w:val="both"/>
        <w:rPr>
          <w:sz w:val="24"/>
          <w:szCs w:val="24"/>
          <w:lang w:val="fr-FR"/>
        </w:rPr>
      </w:pPr>
    </w:p>
    <w:p w:rsidR="00895AAB" w:rsidRPr="00F156FB" w:rsidRDefault="00895AAB" w:rsidP="00CB406A">
      <w:pPr>
        <w:jc w:val="both"/>
        <w:rPr>
          <w:sz w:val="24"/>
          <w:szCs w:val="24"/>
          <w:lang w:val="fr-FR"/>
        </w:rPr>
      </w:pPr>
    </w:p>
    <w:p w:rsidR="004E1E8D" w:rsidRPr="007B01EE" w:rsidRDefault="004E1E8D" w:rsidP="004E1E8D">
      <w:pPr>
        <w:ind w:left="284" w:hanging="284"/>
        <w:rPr>
          <w:sz w:val="24"/>
          <w:szCs w:val="24"/>
          <w:lang w:val="fr-FR"/>
        </w:rPr>
      </w:pPr>
      <w:r w:rsidRPr="007B01EE">
        <w:rPr>
          <w:sz w:val="24"/>
          <w:szCs w:val="24"/>
          <w:lang w:val="fr-FR"/>
        </w:rPr>
        <w:t>_______________________</w:t>
      </w:r>
      <w:r w:rsidRPr="007B01EE">
        <w:rPr>
          <w:sz w:val="24"/>
          <w:szCs w:val="24"/>
          <w:lang w:val="fr-FR"/>
        </w:rPr>
        <w:tab/>
      </w:r>
      <w:r w:rsidRPr="007B01EE">
        <w:rPr>
          <w:sz w:val="24"/>
          <w:szCs w:val="24"/>
          <w:lang w:val="fr-FR"/>
        </w:rPr>
        <w:tab/>
      </w:r>
      <w:r w:rsidRPr="007B01EE">
        <w:rPr>
          <w:sz w:val="24"/>
          <w:szCs w:val="24"/>
          <w:lang w:val="fr-FR"/>
        </w:rPr>
        <w:tab/>
      </w:r>
      <w:r w:rsidRPr="007B01EE">
        <w:rPr>
          <w:sz w:val="24"/>
          <w:szCs w:val="24"/>
          <w:lang w:val="fr-FR"/>
        </w:rPr>
        <w:tab/>
        <w:t>___________________________</w:t>
      </w:r>
    </w:p>
    <w:p w:rsidR="004E1E8D" w:rsidRPr="00417153" w:rsidRDefault="00417153" w:rsidP="004E1E8D">
      <w:pPr>
        <w:ind w:left="284" w:hanging="284"/>
        <w:rPr>
          <w:sz w:val="24"/>
          <w:szCs w:val="24"/>
          <w:lang w:val="fr-FR"/>
        </w:rPr>
      </w:pPr>
      <w:r w:rsidRPr="00417153">
        <w:rPr>
          <w:sz w:val="24"/>
          <w:szCs w:val="24"/>
          <w:lang w:val="fr-FR"/>
        </w:rPr>
        <w:t>Ulrike Rabmer-Koller</w:t>
      </w:r>
      <w:r w:rsidR="004E1E8D" w:rsidRPr="00417153">
        <w:rPr>
          <w:sz w:val="24"/>
          <w:szCs w:val="24"/>
          <w:lang w:val="fr-FR"/>
        </w:rPr>
        <w:tab/>
      </w:r>
      <w:r w:rsidR="004E1E8D" w:rsidRPr="00417153">
        <w:rPr>
          <w:sz w:val="24"/>
          <w:szCs w:val="24"/>
          <w:lang w:val="fr-FR"/>
        </w:rPr>
        <w:tab/>
      </w:r>
      <w:r w:rsidR="004E1E8D" w:rsidRPr="00417153">
        <w:rPr>
          <w:sz w:val="24"/>
          <w:szCs w:val="24"/>
          <w:lang w:val="fr-FR"/>
        </w:rPr>
        <w:tab/>
      </w:r>
      <w:r w:rsidR="004E1E8D" w:rsidRPr="00417153">
        <w:rPr>
          <w:sz w:val="24"/>
          <w:szCs w:val="24"/>
          <w:lang w:val="fr-FR"/>
        </w:rPr>
        <w:tab/>
      </w:r>
      <w:r w:rsidR="00B001F8" w:rsidRPr="00417153">
        <w:rPr>
          <w:sz w:val="24"/>
          <w:szCs w:val="24"/>
          <w:lang w:val="fr-FR"/>
        </w:rPr>
        <w:tab/>
        <w:t>Bernhard Sagmeister</w:t>
      </w:r>
    </w:p>
    <w:p w:rsidR="004E1E8D" w:rsidRPr="00964300" w:rsidRDefault="00417153" w:rsidP="004E1E8D">
      <w:pPr>
        <w:ind w:left="284" w:hanging="284"/>
        <w:rPr>
          <w:sz w:val="24"/>
          <w:szCs w:val="24"/>
          <w:lang w:val="fr-FR"/>
        </w:rPr>
      </w:pPr>
      <w:r>
        <w:rPr>
          <w:sz w:val="24"/>
          <w:szCs w:val="24"/>
          <w:lang w:val="fr-FR"/>
        </w:rPr>
        <w:t xml:space="preserve">Président de </w:t>
      </w:r>
      <w:r w:rsidR="00964300" w:rsidRPr="00964300">
        <w:rPr>
          <w:sz w:val="24"/>
          <w:szCs w:val="24"/>
          <w:lang w:val="fr-FR"/>
        </w:rPr>
        <w:t>l'UEAPME</w:t>
      </w:r>
      <w:r w:rsidR="004E1E8D" w:rsidRPr="00964300">
        <w:rPr>
          <w:sz w:val="24"/>
          <w:szCs w:val="24"/>
          <w:lang w:val="fr-FR"/>
        </w:rPr>
        <w:tab/>
      </w:r>
      <w:r w:rsidR="004E1E8D" w:rsidRPr="00964300">
        <w:rPr>
          <w:sz w:val="24"/>
          <w:szCs w:val="24"/>
          <w:lang w:val="fr-FR"/>
        </w:rPr>
        <w:tab/>
      </w:r>
      <w:r>
        <w:rPr>
          <w:sz w:val="24"/>
          <w:szCs w:val="24"/>
          <w:lang w:val="fr-FR"/>
        </w:rPr>
        <w:tab/>
      </w:r>
      <w:r w:rsidR="004E1E8D" w:rsidRPr="00964300">
        <w:rPr>
          <w:sz w:val="24"/>
          <w:szCs w:val="24"/>
          <w:lang w:val="fr-FR"/>
        </w:rPr>
        <w:tab/>
      </w:r>
      <w:r w:rsidR="008B742A">
        <w:rPr>
          <w:sz w:val="24"/>
          <w:szCs w:val="24"/>
          <w:lang w:val="fr-FR"/>
        </w:rPr>
        <w:t>Président de l’</w:t>
      </w:r>
      <w:r w:rsidR="004E1E8D" w:rsidRPr="00964300">
        <w:rPr>
          <w:sz w:val="24"/>
          <w:szCs w:val="24"/>
          <w:lang w:val="fr-FR"/>
        </w:rPr>
        <w:t>AECM</w:t>
      </w:r>
    </w:p>
    <w:sectPr w:rsidR="004E1E8D" w:rsidRPr="00964300" w:rsidSect="009A6220">
      <w:headerReference w:type="default" r:id="rId8"/>
      <w:footerReference w:type="default" r:id="rId9"/>
      <w:pgSz w:w="11906" w:h="16838"/>
      <w:pgMar w:top="426" w:right="1440" w:bottom="426"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69" w:rsidRDefault="005E0769" w:rsidP="009A39DA">
      <w:pPr>
        <w:spacing w:after="0" w:line="240" w:lineRule="auto"/>
      </w:pPr>
      <w:r>
        <w:separator/>
      </w:r>
    </w:p>
  </w:endnote>
  <w:endnote w:type="continuationSeparator" w:id="0">
    <w:p w:rsidR="005E0769" w:rsidRDefault="005E0769" w:rsidP="009A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948946"/>
      <w:docPartObj>
        <w:docPartGallery w:val="Page Numbers (Bottom of Page)"/>
        <w:docPartUnique/>
      </w:docPartObj>
    </w:sdtPr>
    <w:sdtEndPr/>
    <w:sdtContent>
      <w:p w:rsidR="009332A8" w:rsidRDefault="00345F48">
        <w:pPr>
          <w:pStyle w:val="Footer"/>
          <w:jc w:val="right"/>
        </w:pPr>
        <w:r>
          <w:fldChar w:fldCharType="begin"/>
        </w:r>
        <w:r w:rsidR="009332A8">
          <w:instrText>PAGE   \* MERGEFORMAT</w:instrText>
        </w:r>
        <w:r>
          <w:fldChar w:fldCharType="separate"/>
        </w:r>
        <w:r w:rsidR="009A6220" w:rsidRPr="009A6220">
          <w:rPr>
            <w:noProof/>
            <w:lang w:val="de-DE"/>
          </w:rPr>
          <w:t>1</w:t>
        </w:r>
        <w:r>
          <w:fldChar w:fldCharType="end"/>
        </w:r>
      </w:p>
    </w:sdtContent>
  </w:sdt>
  <w:p w:rsidR="00652467" w:rsidRDefault="00652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69" w:rsidRDefault="005E0769" w:rsidP="009A39DA">
      <w:pPr>
        <w:spacing w:after="0" w:line="240" w:lineRule="auto"/>
      </w:pPr>
      <w:r>
        <w:separator/>
      </w:r>
    </w:p>
  </w:footnote>
  <w:footnote w:type="continuationSeparator" w:id="0">
    <w:p w:rsidR="005E0769" w:rsidRDefault="005E0769" w:rsidP="009A3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7" w:rsidRDefault="00E65794" w:rsidP="00B82F96">
    <w:pPr>
      <w:pStyle w:val="Header"/>
    </w:pPr>
    <w:r w:rsidRPr="005669A4">
      <w:rPr>
        <w:noProof/>
        <w:lang w:val="de-DE" w:eastAsia="de-DE"/>
      </w:rPr>
      <w:drawing>
        <wp:inline distT="0" distB="0" distL="0" distR="0">
          <wp:extent cx="1304925" cy="866775"/>
          <wp:effectExtent l="19050" t="0" r="9525" b="0"/>
          <wp:docPr id="37" name="Picture 37" descr="LOgotipo piccolo only name"/>
          <wp:cNvGraphicFramePr/>
          <a:graphic xmlns:a="http://schemas.openxmlformats.org/drawingml/2006/main">
            <a:graphicData uri="http://schemas.openxmlformats.org/drawingml/2006/picture">
              <pic:pic xmlns:pic="http://schemas.openxmlformats.org/drawingml/2006/picture">
                <pic:nvPicPr>
                  <pic:cNvPr id="0" name="Picture 1" descr="LOgotipo piccolo only name"/>
                  <pic:cNvPicPr>
                    <a:picLocks noChangeAspect="1" noChangeArrowheads="1"/>
                  </pic:cNvPicPr>
                </pic:nvPicPr>
                <pic:blipFill>
                  <a:blip r:embed="rId1"/>
                  <a:srcRect/>
                  <a:stretch>
                    <a:fillRect/>
                  </a:stretch>
                </pic:blipFill>
                <pic:spPr bwMode="auto">
                  <a:xfrm>
                    <a:off x="0" y="0"/>
                    <a:ext cx="1304925" cy="866775"/>
                  </a:xfrm>
                  <a:prstGeom prst="rect">
                    <a:avLst/>
                  </a:prstGeom>
                  <a:noFill/>
                  <a:ln w="9525">
                    <a:noFill/>
                    <a:miter lim="800000"/>
                    <a:headEnd/>
                    <a:tailEnd/>
                  </a:ln>
                </pic:spPr>
              </pic:pic>
            </a:graphicData>
          </a:graphic>
        </wp:inline>
      </w:drawing>
    </w:r>
    <w:r w:rsidR="00B82F96">
      <w:tab/>
      <w:t xml:space="preserve">                                                                           </w:t>
    </w:r>
    <w:r w:rsidR="00B82F96">
      <w:rPr>
        <w:noProof/>
        <w:lang w:val="de-DE" w:eastAsia="de-DE"/>
      </w:rPr>
      <w:drawing>
        <wp:inline distT="0" distB="0" distL="0" distR="0">
          <wp:extent cx="1392621" cy="741526"/>
          <wp:effectExtent l="0" t="0" r="0" b="1905"/>
          <wp:docPr id="38" name="Grafik 26" descr="C:\Users\Katrin\AppData\Local\Microsoft\Windows\INetCacheContent.Word\UEAPM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rin\AppData\Local\Microsoft\Windows\INetCacheContent.Word\UEAPME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483" cy="760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042"/>
    <w:multiLevelType w:val="hybridMultilevel"/>
    <w:tmpl w:val="445C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737CCB"/>
    <w:multiLevelType w:val="hybridMultilevel"/>
    <w:tmpl w:val="AF1C30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E338E"/>
    <w:multiLevelType w:val="hybridMultilevel"/>
    <w:tmpl w:val="06AAE0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C96DD1"/>
    <w:multiLevelType w:val="hybridMultilevel"/>
    <w:tmpl w:val="D56C3D4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69F3B8A"/>
    <w:multiLevelType w:val="hybridMultilevel"/>
    <w:tmpl w:val="6C988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9F3E85"/>
    <w:rsid w:val="00010DBD"/>
    <w:rsid w:val="000311BF"/>
    <w:rsid w:val="00086D40"/>
    <w:rsid w:val="00090126"/>
    <w:rsid w:val="000A0ECD"/>
    <w:rsid w:val="000D0BD4"/>
    <w:rsid w:val="000D10AA"/>
    <w:rsid w:val="000E2AC4"/>
    <w:rsid w:val="00115470"/>
    <w:rsid w:val="00124884"/>
    <w:rsid w:val="00133F41"/>
    <w:rsid w:val="00152DED"/>
    <w:rsid w:val="00154588"/>
    <w:rsid w:val="00172381"/>
    <w:rsid w:val="001760AB"/>
    <w:rsid w:val="00185067"/>
    <w:rsid w:val="00186552"/>
    <w:rsid w:val="00196584"/>
    <w:rsid w:val="001A7DA4"/>
    <w:rsid w:val="001D2E08"/>
    <w:rsid w:val="001E0326"/>
    <w:rsid w:val="001F16D1"/>
    <w:rsid w:val="00211C69"/>
    <w:rsid w:val="002162E2"/>
    <w:rsid w:val="00223255"/>
    <w:rsid w:val="002267F9"/>
    <w:rsid w:val="002346BB"/>
    <w:rsid w:val="00236DA0"/>
    <w:rsid w:val="002420D6"/>
    <w:rsid w:val="002709DA"/>
    <w:rsid w:val="00280008"/>
    <w:rsid w:val="002824D6"/>
    <w:rsid w:val="00286904"/>
    <w:rsid w:val="0029453D"/>
    <w:rsid w:val="002A4963"/>
    <w:rsid w:val="002A78A1"/>
    <w:rsid w:val="002C00E0"/>
    <w:rsid w:val="002D46A6"/>
    <w:rsid w:val="00307735"/>
    <w:rsid w:val="0033122A"/>
    <w:rsid w:val="0034123C"/>
    <w:rsid w:val="00342F30"/>
    <w:rsid w:val="00345F48"/>
    <w:rsid w:val="003553E9"/>
    <w:rsid w:val="003702E2"/>
    <w:rsid w:val="003C4296"/>
    <w:rsid w:val="00407256"/>
    <w:rsid w:val="00413DED"/>
    <w:rsid w:val="00417153"/>
    <w:rsid w:val="004264DB"/>
    <w:rsid w:val="00431FEA"/>
    <w:rsid w:val="00437CE6"/>
    <w:rsid w:val="00447EEF"/>
    <w:rsid w:val="00453D95"/>
    <w:rsid w:val="00473F03"/>
    <w:rsid w:val="0048214C"/>
    <w:rsid w:val="004B4250"/>
    <w:rsid w:val="004D24DB"/>
    <w:rsid w:val="004E1E8D"/>
    <w:rsid w:val="005309C1"/>
    <w:rsid w:val="005316E7"/>
    <w:rsid w:val="00555426"/>
    <w:rsid w:val="005617A5"/>
    <w:rsid w:val="00562301"/>
    <w:rsid w:val="00565F35"/>
    <w:rsid w:val="0057166F"/>
    <w:rsid w:val="00580A99"/>
    <w:rsid w:val="0059475E"/>
    <w:rsid w:val="005D2A66"/>
    <w:rsid w:val="005E0769"/>
    <w:rsid w:val="00604CA3"/>
    <w:rsid w:val="00626F11"/>
    <w:rsid w:val="00633A6C"/>
    <w:rsid w:val="006362E4"/>
    <w:rsid w:val="006403EB"/>
    <w:rsid w:val="006518E5"/>
    <w:rsid w:val="00652467"/>
    <w:rsid w:val="00663C82"/>
    <w:rsid w:val="00670A56"/>
    <w:rsid w:val="006862B1"/>
    <w:rsid w:val="006B1897"/>
    <w:rsid w:val="00705E0B"/>
    <w:rsid w:val="007074E4"/>
    <w:rsid w:val="00710F51"/>
    <w:rsid w:val="0071185B"/>
    <w:rsid w:val="00711AA3"/>
    <w:rsid w:val="00714102"/>
    <w:rsid w:val="007228D0"/>
    <w:rsid w:val="007357CE"/>
    <w:rsid w:val="007460E5"/>
    <w:rsid w:val="0075713B"/>
    <w:rsid w:val="00776190"/>
    <w:rsid w:val="00783DF2"/>
    <w:rsid w:val="007921DE"/>
    <w:rsid w:val="007927C0"/>
    <w:rsid w:val="007B01EE"/>
    <w:rsid w:val="007B542E"/>
    <w:rsid w:val="007B7E92"/>
    <w:rsid w:val="007C1A1A"/>
    <w:rsid w:val="007C5BC4"/>
    <w:rsid w:val="00800C62"/>
    <w:rsid w:val="00800D94"/>
    <w:rsid w:val="00807AE4"/>
    <w:rsid w:val="008234D9"/>
    <w:rsid w:val="00840E79"/>
    <w:rsid w:val="00890DA5"/>
    <w:rsid w:val="0089113D"/>
    <w:rsid w:val="0089424D"/>
    <w:rsid w:val="00895AAB"/>
    <w:rsid w:val="008963C4"/>
    <w:rsid w:val="008A76BA"/>
    <w:rsid w:val="008B72BD"/>
    <w:rsid w:val="008B742A"/>
    <w:rsid w:val="008D120A"/>
    <w:rsid w:val="008E7F1B"/>
    <w:rsid w:val="009075CB"/>
    <w:rsid w:val="00927208"/>
    <w:rsid w:val="00932047"/>
    <w:rsid w:val="009332A8"/>
    <w:rsid w:val="00963F58"/>
    <w:rsid w:val="00964300"/>
    <w:rsid w:val="0097319D"/>
    <w:rsid w:val="00980A78"/>
    <w:rsid w:val="009A39DA"/>
    <w:rsid w:val="009A461F"/>
    <w:rsid w:val="009A6220"/>
    <w:rsid w:val="009B7CEA"/>
    <w:rsid w:val="009C1DAA"/>
    <w:rsid w:val="009E6058"/>
    <w:rsid w:val="009F3E85"/>
    <w:rsid w:val="00A0240C"/>
    <w:rsid w:val="00A05468"/>
    <w:rsid w:val="00A172E3"/>
    <w:rsid w:val="00A213E6"/>
    <w:rsid w:val="00A26095"/>
    <w:rsid w:val="00A7333E"/>
    <w:rsid w:val="00AB693A"/>
    <w:rsid w:val="00AD0768"/>
    <w:rsid w:val="00B001F8"/>
    <w:rsid w:val="00B01B38"/>
    <w:rsid w:val="00B10E67"/>
    <w:rsid w:val="00B12983"/>
    <w:rsid w:val="00B1442E"/>
    <w:rsid w:val="00B45502"/>
    <w:rsid w:val="00B45575"/>
    <w:rsid w:val="00B50453"/>
    <w:rsid w:val="00B557C4"/>
    <w:rsid w:val="00B565DD"/>
    <w:rsid w:val="00B57381"/>
    <w:rsid w:val="00B6216C"/>
    <w:rsid w:val="00B7244E"/>
    <w:rsid w:val="00B77F7C"/>
    <w:rsid w:val="00B82F96"/>
    <w:rsid w:val="00BA5D8D"/>
    <w:rsid w:val="00BA7832"/>
    <w:rsid w:val="00BB1529"/>
    <w:rsid w:val="00BE75FC"/>
    <w:rsid w:val="00BF6A29"/>
    <w:rsid w:val="00C07C6A"/>
    <w:rsid w:val="00C32A2B"/>
    <w:rsid w:val="00C52BE0"/>
    <w:rsid w:val="00C62C50"/>
    <w:rsid w:val="00C74820"/>
    <w:rsid w:val="00CB406A"/>
    <w:rsid w:val="00CB40C2"/>
    <w:rsid w:val="00CD7112"/>
    <w:rsid w:val="00CF2FB9"/>
    <w:rsid w:val="00D46C01"/>
    <w:rsid w:val="00D7378D"/>
    <w:rsid w:val="00D82058"/>
    <w:rsid w:val="00D86BD6"/>
    <w:rsid w:val="00DA3D9A"/>
    <w:rsid w:val="00DD09E7"/>
    <w:rsid w:val="00DE513F"/>
    <w:rsid w:val="00E033AD"/>
    <w:rsid w:val="00E13ED9"/>
    <w:rsid w:val="00E330A4"/>
    <w:rsid w:val="00E424D0"/>
    <w:rsid w:val="00E432B7"/>
    <w:rsid w:val="00E43611"/>
    <w:rsid w:val="00E5745A"/>
    <w:rsid w:val="00E65794"/>
    <w:rsid w:val="00E73AAD"/>
    <w:rsid w:val="00E92A2A"/>
    <w:rsid w:val="00EA4A9B"/>
    <w:rsid w:val="00EA6AF2"/>
    <w:rsid w:val="00EB2286"/>
    <w:rsid w:val="00EF1E4E"/>
    <w:rsid w:val="00EF2E66"/>
    <w:rsid w:val="00F00822"/>
    <w:rsid w:val="00F01CED"/>
    <w:rsid w:val="00F0223B"/>
    <w:rsid w:val="00F06416"/>
    <w:rsid w:val="00F06F7F"/>
    <w:rsid w:val="00F156FB"/>
    <w:rsid w:val="00F16A46"/>
    <w:rsid w:val="00F2579F"/>
    <w:rsid w:val="00F6290A"/>
    <w:rsid w:val="00F81AA5"/>
    <w:rsid w:val="00F876E9"/>
    <w:rsid w:val="00FA2A6C"/>
    <w:rsid w:val="00FA3315"/>
    <w:rsid w:val="00FB6E3E"/>
    <w:rsid w:val="00FD0FFE"/>
    <w:rsid w:val="00FE285A"/>
    <w:rsid w:val="00FE7434"/>
    <w:rsid w:val="00FF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07C0DEE"/>
  <w15:docId w15:val="{B9E65C02-53D6-4A71-BD08-8339BE81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0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90DA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A39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39DA"/>
  </w:style>
  <w:style w:type="paragraph" w:styleId="Footer">
    <w:name w:val="footer"/>
    <w:basedOn w:val="Normal"/>
    <w:link w:val="FooterChar"/>
    <w:uiPriority w:val="99"/>
    <w:unhideWhenUsed/>
    <w:rsid w:val="009A39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39DA"/>
  </w:style>
  <w:style w:type="paragraph" w:styleId="FootnoteText">
    <w:name w:val="footnote text"/>
    <w:basedOn w:val="Normal"/>
    <w:link w:val="FootnoteTextChar"/>
    <w:semiHidden/>
    <w:rsid w:val="00652467"/>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semiHidden/>
    <w:rsid w:val="00652467"/>
    <w:rPr>
      <w:rFonts w:ascii="Times New Roman" w:eastAsia="Times New Roman" w:hAnsi="Times New Roman" w:cs="Times New Roman"/>
      <w:sz w:val="20"/>
      <w:szCs w:val="20"/>
      <w:lang w:eastAsia="fr-FR"/>
    </w:rPr>
  </w:style>
  <w:style w:type="character" w:styleId="Hyperlink">
    <w:name w:val="Hyperlink"/>
    <w:rsid w:val="00652467"/>
    <w:rPr>
      <w:color w:val="0000FF"/>
      <w:u w:val="single"/>
    </w:rPr>
  </w:style>
  <w:style w:type="paragraph" w:styleId="ListParagraph">
    <w:name w:val="List Paragraph"/>
    <w:basedOn w:val="Normal"/>
    <w:uiPriority w:val="34"/>
    <w:qFormat/>
    <w:rsid w:val="00AB693A"/>
    <w:pPr>
      <w:ind w:left="720"/>
      <w:contextualSpacing/>
    </w:pPr>
  </w:style>
  <w:style w:type="paragraph" w:styleId="BalloonText">
    <w:name w:val="Balloon Text"/>
    <w:basedOn w:val="Normal"/>
    <w:link w:val="BalloonTextChar"/>
    <w:uiPriority w:val="99"/>
    <w:semiHidden/>
    <w:unhideWhenUsed/>
    <w:rsid w:val="00AB6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93A"/>
    <w:rPr>
      <w:rFonts w:ascii="Segoe UI" w:hAnsi="Segoe UI" w:cs="Segoe UI"/>
      <w:sz w:val="18"/>
      <w:szCs w:val="18"/>
    </w:rPr>
  </w:style>
  <w:style w:type="character" w:styleId="CommentReference">
    <w:name w:val="annotation reference"/>
    <w:basedOn w:val="DefaultParagraphFont"/>
    <w:uiPriority w:val="99"/>
    <w:semiHidden/>
    <w:unhideWhenUsed/>
    <w:rsid w:val="00D86BD6"/>
    <w:rPr>
      <w:sz w:val="16"/>
      <w:szCs w:val="16"/>
    </w:rPr>
  </w:style>
  <w:style w:type="paragraph" w:styleId="CommentText">
    <w:name w:val="annotation text"/>
    <w:basedOn w:val="Normal"/>
    <w:link w:val="CommentTextChar"/>
    <w:uiPriority w:val="99"/>
    <w:semiHidden/>
    <w:unhideWhenUsed/>
    <w:rsid w:val="00D86BD6"/>
    <w:pPr>
      <w:spacing w:line="240" w:lineRule="auto"/>
    </w:pPr>
    <w:rPr>
      <w:sz w:val="20"/>
      <w:szCs w:val="20"/>
    </w:rPr>
  </w:style>
  <w:style w:type="character" w:customStyle="1" w:styleId="CommentTextChar">
    <w:name w:val="Comment Text Char"/>
    <w:basedOn w:val="DefaultParagraphFont"/>
    <w:link w:val="CommentText"/>
    <w:uiPriority w:val="99"/>
    <w:semiHidden/>
    <w:rsid w:val="00D86BD6"/>
    <w:rPr>
      <w:sz w:val="20"/>
      <w:szCs w:val="20"/>
    </w:rPr>
  </w:style>
  <w:style w:type="paragraph" w:styleId="CommentSubject">
    <w:name w:val="annotation subject"/>
    <w:basedOn w:val="CommentText"/>
    <w:next w:val="CommentText"/>
    <w:link w:val="CommentSubjectChar"/>
    <w:uiPriority w:val="99"/>
    <w:semiHidden/>
    <w:unhideWhenUsed/>
    <w:rsid w:val="00D86BD6"/>
    <w:rPr>
      <w:b/>
      <w:bCs/>
    </w:rPr>
  </w:style>
  <w:style w:type="character" w:customStyle="1" w:styleId="CommentSubjectChar">
    <w:name w:val="Comment Subject Char"/>
    <w:basedOn w:val="CommentTextChar"/>
    <w:link w:val="CommentSubject"/>
    <w:uiPriority w:val="99"/>
    <w:semiHidden/>
    <w:rsid w:val="00D86B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95405">
      <w:bodyDiv w:val="1"/>
      <w:marLeft w:val="0"/>
      <w:marRight w:val="0"/>
      <w:marTop w:val="0"/>
      <w:marBottom w:val="0"/>
      <w:divBdr>
        <w:top w:val="none" w:sz="0" w:space="0" w:color="auto"/>
        <w:left w:val="none" w:sz="0" w:space="0" w:color="auto"/>
        <w:bottom w:val="none" w:sz="0" w:space="0" w:color="auto"/>
        <w:right w:val="none" w:sz="0" w:space="0" w:color="auto"/>
      </w:divBdr>
    </w:div>
    <w:div w:id="365569175">
      <w:bodyDiv w:val="1"/>
      <w:marLeft w:val="0"/>
      <w:marRight w:val="0"/>
      <w:marTop w:val="0"/>
      <w:marBottom w:val="0"/>
      <w:divBdr>
        <w:top w:val="none" w:sz="0" w:space="0" w:color="auto"/>
        <w:left w:val="none" w:sz="0" w:space="0" w:color="auto"/>
        <w:bottom w:val="none" w:sz="0" w:space="0" w:color="auto"/>
        <w:right w:val="none" w:sz="0" w:space="0" w:color="auto"/>
      </w:divBdr>
    </w:div>
    <w:div w:id="432094691">
      <w:bodyDiv w:val="1"/>
      <w:marLeft w:val="0"/>
      <w:marRight w:val="0"/>
      <w:marTop w:val="0"/>
      <w:marBottom w:val="0"/>
      <w:divBdr>
        <w:top w:val="none" w:sz="0" w:space="0" w:color="auto"/>
        <w:left w:val="none" w:sz="0" w:space="0" w:color="auto"/>
        <w:bottom w:val="none" w:sz="0" w:space="0" w:color="auto"/>
        <w:right w:val="none" w:sz="0" w:space="0" w:color="auto"/>
      </w:divBdr>
    </w:div>
    <w:div w:id="536313407">
      <w:bodyDiv w:val="1"/>
      <w:marLeft w:val="0"/>
      <w:marRight w:val="0"/>
      <w:marTop w:val="0"/>
      <w:marBottom w:val="0"/>
      <w:divBdr>
        <w:top w:val="none" w:sz="0" w:space="0" w:color="auto"/>
        <w:left w:val="none" w:sz="0" w:space="0" w:color="auto"/>
        <w:bottom w:val="none" w:sz="0" w:space="0" w:color="auto"/>
        <w:right w:val="none" w:sz="0" w:space="0" w:color="auto"/>
      </w:divBdr>
      <w:divsChild>
        <w:div w:id="727725978">
          <w:marLeft w:val="821"/>
          <w:marRight w:val="0"/>
          <w:marTop w:val="120"/>
          <w:marBottom w:val="360"/>
          <w:divBdr>
            <w:top w:val="none" w:sz="0" w:space="0" w:color="auto"/>
            <w:left w:val="none" w:sz="0" w:space="0" w:color="auto"/>
            <w:bottom w:val="none" w:sz="0" w:space="0" w:color="auto"/>
            <w:right w:val="none" w:sz="0" w:space="0" w:color="auto"/>
          </w:divBdr>
        </w:div>
      </w:divsChild>
    </w:div>
    <w:div w:id="751586037">
      <w:bodyDiv w:val="1"/>
      <w:marLeft w:val="0"/>
      <w:marRight w:val="0"/>
      <w:marTop w:val="0"/>
      <w:marBottom w:val="0"/>
      <w:divBdr>
        <w:top w:val="none" w:sz="0" w:space="0" w:color="auto"/>
        <w:left w:val="none" w:sz="0" w:space="0" w:color="auto"/>
        <w:bottom w:val="none" w:sz="0" w:space="0" w:color="auto"/>
        <w:right w:val="none" w:sz="0" w:space="0" w:color="auto"/>
      </w:divBdr>
    </w:div>
    <w:div w:id="1544902573">
      <w:bodyDiv w:val="1"/>
      <w:marLeft w:val="0"/>
      <w:marRight w:val="0"/>
      <w:marTop w:val="0"/>
      <w:marBottom w:val="0"/>
      <w:divBdr>
        <w:top w:val="none" w:sz="0" w:space="0" w:color="auto"/>
        <w:left w:val="none" w:sz="0" w:space="0" w:color="auto"/>
        <w:bottom w:val="none" w:sz="0" w:space="0" w:color="auto"/>
        <w:right w:val="none" w:sz="0" w:space="0" w:color="auto"/>
      </w:divBdr>
    </w:div>
    <w:div w:id="1584217081">
      <w:bodyDiv w:val="1"/>
      <w:marLeft w:val="0"/>
      <w:marRight w:val="0"/>
      <w:marTop w:val="0"/>
      <w:marBottom w:val="0"/>
      <w:divBdr>
        <w:top w:val="none" w:sz="0" w:space="0" w:color="auto"/>
        <w:left w:val="none" w:sz="0" w:space="0" w:color="auto"/>
        <w:bottom w:val="none" w:sz="0" w:space="0" w:color="auto"/>
        <w:right w:val="none" w:sz="0" w:space="0" w:color="auto"/>
      </w:divBdr>
    </w:div>
    <w:div w:id="1789740505">
      <w:bodyDiv w:val="1"/>
      <w:marLeft w:val="0"/>
      <w:marRight w:val="0"/>
      <w:marTop w:val="0"/>
      <w:marBottom w:val="0"/>
      <w:divBdr>
        <w:top w:val="none" w:sz="0" w:space="0" w:color="auto"/>
        <w:left w:val="none" w:sz="0" w:space="0" w:color="auto"/>
        <w:bottom w:val="none" w:sz="0" w:space="0" w:color="auto"/>
        <w:right w:val="none" w:sz="0" w:space="0" w:color="auto"/>
      </w:divBdr>
    </w:div>
    <w:div w:id="1914006944">
      <w:bodyDiv w:val="1"/>
      <w:marLeft w:val="0"/>
      <w:marRight w:val="0"/>
      <w:marTop w:val="0"/>
      <w:marBottom w:val="0"/>
      <w:divBdr>
        <w:top w:val="none" w:sz="0" w:space="0" w:color="auto"/>
        <w:left w:val="none" w:sz="0" w:space="0" w:color="auto"/>
        <w:bottom w:val="none" w:sz="0" w:space="0" w:color="auto"/>
        <w:right w:val="none" w:sz="0" w:space="0" w:color="auto"/>
      </w:divBdr>
      <w:divsChild>
        <w:div w:id="156963814">
          <w:marLeft w:val="821"/>
          <w:marRight w:val="0"/>
          <w:marTop w:val="120"/>
          <w:marBottom w:val="360"/>
          <w:divBdr>
            <w:top w:val="none" w:sz="0" w:space="0" w:color="auto"/>
            <w:left w:val="none" w:sz="0" w:space="0" w:color="auto"/>
            <w:bottom w:val="none" w:sz="0" w:space="0" w:color="auto"/>
            <w:right w:val="none" w:sz="0" w:space="0" w:color="auto"/>
          </w:divBdr>
        </w:div>
        <w:div w:id="1438401108">
          <w:marLeft w:val="821"/>
          <w:marRight w:val="0"/>
          <w:marTop w:val="120"/>
          <w:marBottom w:val="360"/>
          <w:divBdr>
            <w:top w:val="none" w:sz="0" w:space="0" w:color="auto"/>
            <w:left w:val="none" w:sz="0" w:space="0" w:color="auto"/>
            <w:bottom w:val="none" w:sz="0" w:space="0" w:color="auto"/>
            <w:right w:val="none" w:sz="0" w:space="0" w:color="auto"/>
          </w:divBdr>
        </w:div>
        <w:div w:id="1147938317">
          <w:marLeft w:val="821"/>
          <w:marRight w:val="0"/>
          <w:marTop w:val="120"/>
          <w:marBottom w:val="360"/>
          <w:divBdr>
            <w:top w:val="none" w:sz="0" w:space="0" w:color="auto"/>
            <w:left w:val="none" w:sz="0" w:space="0" w:color="auto"/>
            <w:bottom w:val="none" w:sz="0" w:space="0" w:color="auto"/>
            <w:right w:val="none" w:sz="0" w:space="0" w:color="auto"/>
          </w:divBdr>
        </w:div>
        <w:div w:id="1870297256">
          <w:marLeft w:val="821"/>
          <w:marRight w:val="0"/>
          <w:marTop w:val="120"/>
          <w:marBottom w:val="360"/>
          <w:divBdr>
            <w:top w:val="none" w:sz="0" w:space="0" w:color="auto"/>
            <w:left w:val="none" w:sz="0" w:space="0" w:color="auto"/>
            <w:bottom w:val="none" w:sz="0" w:space="0" w:color="auto"/>
            <w:right w:val="none" w:sz="0" w:space="0" w:color="auto"/>
          </w:divBdr>
        </w:div>
        <w:div w:id="176777694">
          <w:marLeft w:val="821"/>
          <w:marRight w:val="0"/>
          <w:marTop w:val="120"/>
          <w:marBottom w:val="360"/>
          <w:divBdr>
            <w:top w:val="none" w:sz="0" w:space="0" w:color="auto"/>
            <w:left w:val="none" w:sz="0" w:space="0" w:color="auto"/>
            <w:bottom w:val="none" w:sz="0" w:space="0" w:color="auto"/>
            <w:right w:val="none" w:sz="0" w:space="0" w:color="auto"/>
          </w:divBdr>
        </w:div>
        <w:div w:id="17782982">
          <w:marLeft w:val="821"/>
          <w:marRight w:val="0"/>
          <w:marTop w:val="120"/>
          <w:marBottom w:val="360"/>
          <w:divBdr>
            <w:top w:val="none" w:sz="0" w:space="0" w:color="auto"/>
            <w:left w:val="none" w:sz="0" w:space="0" w:color="auto"/>
            <w:bottom w:val="none" w:sz="0" w:space="0" w:color="auto"/>
            <w:right w:val="none" w:sz="0" w:space="0" w:color="auto"/>
          </w:divBdr>
        </w:div>
        <w:div w:id="2004164209">
          <w:marLeft w:val="821"/>
          <w:marRight w:val="0"/>
          <w:marTop w:val="120"/>
          <w:marBottom w:val="360"/>
          <w:divBdr>
            <w:top w:val="none" w:sz="0" w:space="0" w:color="auto"/>
            <w:left w:val="none" w:sz="0" w:space="0" w:color="auto"/>
            <w:bottom w:val="none" w:sz="0" w:space="0" w:color="auto"/>
            <w:right w:val="none" w:sz="0" w:space="0" w:color="auto"/>
          </w:divBdr>
        </w:div>
      </w:divsChild>
    </w:div>
    <w:div w:id="19323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AB727-4112-4159-8BA8-D76B6663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10278</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AECM</dc:creator>
  <cp:lastModifiedBy>Katrin Sturm</cp:lastModifiedBy>
  <cp:revision>4</cp:revision>
  <cp:lastPrinted>2017-01-10T06:47:00Z</cp:lastPrinted>
  <dcterms:created xsi:type="dcterms:W3CDTF">2017-01-23T11:37:00Z</dcterms:created>
  <dcterms:modified xsi:type="dcterms:W3CDTF">2017-01-23T15:45:00Z</dcterms:modified>
</cp:coreProperties>
</file>