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96" w:rsidRPr="000A5ED3" w:rsidRDefault="00B82F96" w:rsidP="009A39DA">
      <w:pPr>
        <w:jc w:val="center"/>
        <w:rPr>
          <w:rFonts w:cs="Arial"/>
          <w:sz w:val="4"/>
          <w:szCs w:val="16"/>
        </w:rPr>
      </w:pPr>
    </w:p>
    <w:p w:rsidR="004577FF" w:rsidRPr="000A5ED3" w:rsidRDefault="004577FF" w:rsidP="004577FF">
      <w:pPr>
        <w:jc w:val="center"/>
        <w:rPr>
          <w:rFonts w:cs="Arial"/>
          <w:sz w:val="28"/>
          <w:lang w:val="it-IT"/>
        </w:rPr>
      </w:pPr>
      <w:r w:rsidRPr="000A5ED3">
        <w:rPr>
          <w:rFonts w:cs="Arial"/>
          <w:sz w:val="28"/>
          <w:lang w:val="it-IT"/>
        </w:rPr>
        <w:t xml:space="preserve">Commenti di UEAPME e AECM relativi alla progettazione e applicazione degli strumenti finanziari europei - richieste congiunte </w:t>
      </w:r>
      <w:r w:rsidR="00301DE7" w:rsidRPr="000A5ED3">
        <w:rPr>
          <w:rFonts w:cs="Arial"/>
          <w:sz w:val="28"/>
          <w:lang w:val="it-IT"/>
        </w:rPr>
        <w:t>a proposito della</w:t>
      </w:r>
      <w:r w:rsidRPr="000A5ED3">
        <w:rPr>
          <w:rFonts w:cs="Arial"/>
          <w:sz w:val="28"/>
          <w:lang w:val="it-IT"/>
        </w:rPr>
        <w:t xml:space="preserve"> revisione intermedia dell'UE</w:t>
      </w:r>
    </w:p>
    <w:p w:rsidR="00B82F96" w:rsidRPr="00FF3CB3" w:rsidRDefault="00B82F96" w:rsidP="00EB2286">
      <w:pPr>
        <w:spacing w:after="120" w:line="360" w:lineRule="auto"/>
        <w:ind w:right="-147"/>
        <w:jc w:val="both"/>
        <w:rPr>
          <w:rFonts w:cs="Arial"/>
          <w:bCs/>
          <w:sz w:val="2"/>
          <w:szCs w:val="2"/>
          <w:lang w:val="it-IT"/>
        </w:rPr>
      </w:pPr>
    </w:p>
    <w:p w:rsidR="004577FF" w:rsidRPr="00FF3CB3" w:rsidRDefault="004577FF" w:rsidP="004577FF">
      <w:pPr>
        <w:jc w:val="both"/>
        <w:rPr>
          <w:b/>
          <w:sz w:val="24"/>
          <w:szCs w:val="24"/>
          <w:lang w:val="it-IT"/>
        </w:rPr>
      </w:pPr>
      <w:r w:rsidRPr="00FF3CB3">
        <w:rPr>
          <w:b/>
          <w:sz w:val="24"/>
          <w:szCs w:val="24"/>
          <w:lang w:val="it-IT"/>
        </w:rPr>
        <w:t xml:space="preserve">A / Considerazioni introduttive </w:t>
      </w:r>
    </w:p>
    <w:p w:rsidR="004577FF" w:rsidRPr="00E7286F" w:rsidRDefault="004577FF" w:rsidP="004577FF">
      <w:pPr>
        <w:jc w:val="both"/>
        <w:rPr>
          <w:sz w:val="24"/>
          <w:szCs w:val="24"/>
          <w:lang w:val="it-IT"/>
        </w:rPr>
      </w:pPr>
      <w:r w:rsidRPr="00E7286F">
        <w:rPr>
          <w:sz w:val="24"/>
          <w:szCs w:val="24"/>
          <w:lang w:val="it-IT"/>
        </w:rPr>
        <w:t>UEAPME è l'organizzazione dei datori di lavoro che rappresenta l´artigianato, il commercio e le piccole e medie imprese (PMI) dell'UE e dei paesi candidati a livello europeo. UEAPME ha 65 organizzazioni membro che rappresentano l'artigianato e le PMI di tutta Europa, oltre 12 milioni di imprese e 55 milioni di dipendenti.</w:t>
      </w:r>
    </w:p>
    <w:p w:rsidR="004577FF" w:rsidRPr="00E7286F" w:rsidRDefault="004577FF" w:rsidP="004577FF">
      <w:pPr>
        <w:jc w:val="both"/>
        <w:rPr>
          <w:sz w:val="24"/>
          <w:szCs w:val="24"/>
          <w:lang w:val="it-IT"/>
        </w:rPr>
      </w:pPr>
      <w:r w:rsidRPr="00E7286F">
        <w:rPr>
          <w:sz w:val="24"/>
          <w:szCs w:val="24"/>
          <w:lang w:val="it-IT"/>
        </w:rPr>
        <w:t>I 41 membri di AECM, che sono sistemi di mutua/privata garanzia, enti pubblici o misti, hanno in comune la missione di sostenere le PMI nell´ottenere accesso ai finanziamenti fornendo garanzie alle PMI che hanno un progetto economicamente valido ma non dispongono di sufficienti garanzie bancarie. I membri di AECM, che alla fine del 2015 disponevano di circa 81 miliardi di euro in volumi in garanzia, a loro</w:t>
      </w:r>
      <w:r w:rsidR="00E7286F" w:rsidRPr="00E7286F">
        <w:rPr>
          <w:sz w:val="24"/>
          <w:szCs w:val="24"/>
          <w:lang w:val="it-IT"/>
        </w:rPr>
        <w:t xml:space="preserve"> volta</w:t>
      </w:r>
      <w:r w:rsidRPr="00E7286F">
        <w:rPr>
          <w:sz w:val="24"/>
          <w:szCs w:val="24"/>
          <w:lang w:val="it-IT"/>
        </w:rPr>
        <w:t xml:space="preserve"> ricevono una contro-garanzia a livello regionale, nazionale ed europeo.</w:t>
      </w:r>
    </w:p>
    <w:p w:rsidR="004577FF" w:rsidRPr="00E7286F" w:rsidRDefault="004577FF" w:rsidP="004577FF">
      <w:pPr>
        <w:jc w:val="both"/>
        <w:rPr>
          <w:sz w:val="24"/>
          <w:szCs w:val="24"/>
          <w:lang w:val="it-IT"/>
        </w:rPr>
      </w:pPr>
      <w:r w:rsidRPr="00E7286F">
        <w:rPr>
          <w:sz w:val="24"/>
          <w:szCs w:val="24"/>
          <w:lang w:val="it-IT"/>
        </w:rPr>
        <w:t>Molti dei membri di AECM hanno utilizzato strumenti finanziari europei, progettati dalla Commissione Europea e gestiti dal Fondo Europeo per gli Investimenti (FEI), fin dall'inizio nel 1998. Più del 50% dei meccanismi di garanz</w:t>
      </w:r>
      <w:r w:rsidR="00FF3CB3">
        <w:rPr>
          <w:sz w:val="24"/>
          <w:szCs w:val="24"/>
          <w:lang w:val="it-IT"/>
        </w:rPr>
        <w:t>ia per le PMI dei programmi MEP</w:t>
      </w:r>
      <w:r w:rsidRPr="00E7286F">
        <w:rPr>
          <w:sz w:val="24"/>
          <w:szCs w:val="24"/>
          <w:lang w:val="it-IT"/>
        </w:rPr>
        <w:t>, CIP e COSME sono stati/sono implementati attraverso i membri di AECM.</w:t>
      </w:r>
    </w:p>
    <w:p w:rsidR="00BA7832" w:rsidRPr="00FF3CB3" w:rsidRDefault="00BA7832" w:rsidP="0089113D">
      <w:pPr>
        <w:jc w:val="both"/>
        <w:rPr>
          <w:b/>
          <w:sz w:val="24"/>
          <w:szCs w:val="24"/>
          <w:lang w:val="it-IT"/>
        </w:rPr>
      </w:pPr>
      <w:r w:rsidRPr="00FF3CB3">
        <w:rPr>
          <w:b/>
          <w:sz w:val="24"/>
          <w:szCs w:val="24"/>
          <w:lang w:val="it-IT"/>
        </w:rPr>
        <w:t xml:space="preserve">B / </w:t>
      </w:r>
      <w:r w:rsidR="004577FF" w:rsidRPr="00FF3CB3">
        <w:rPr>
          <w:b/>
          <w:sz w:val="24"/>
          <w:szCs w:val="24"/>
          <w:lang w:val="it-IT"/>
        </w:rPr>
        <w:t>Commenti</w:t>
      </w:r>
    </w:p>
    <w:p w:rsidR="004577FF" w:rsidRPr="00E7286F" w:rsidRDefault="004577FF" w:rsidP="004577FF">
      <w:pPr>
        <w:jc w:val="both"/>
        <w:rPr>
          <w:sz w:val="24"/>
          <w:szCs w:val="24"/>
          <w:lang w:val="it-IT"/>
        </w:rPr>
      </w:pPr>
      <w:r w:rsidRPr="00E7286F">
        <w:rPr>
          <w:sz w:val="24"/>
          <w:szCs w:val="24"/>
          <w:lang w:val="it-IT"/>
        </w:rPr>
        <w:t>Sulla base della lunga esperienza come intermediari finanziari e tenendo presente il target degli strumenti finanziari dell'UE, vale a dire le piccole e medie imprese, UEAPME e AECM vorrebbero presentare le seguenti richieste come contributo alla revisione intermedia dell´UE:</w:t>
      </w:r>
    </w:p>
    <w:p w:rsidR="004577FF" w:rsidRPr="00E7286F" w:rsidRDefault="004577FF" w:rsidP="004577FF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  <w:lang w:val="it-IT"/>
        </w:rPr>
      </w:pPr>
      <w:r w:rsidRPr="00E7286F">
        <w:rPr>
          <w:b/>
          <w:sz w:val="24"/>
          <w:szCs w:val="24"/>
          <w:lang w:val="it-IT"/>
        </w:rPr>
        <w:t>Le garanzie come importante strumento per promuovere innovazione, crescita e occupazione</w:t>
      </w:r>
    </w:p>
    <w:p w:rsidR="008D678C" w:rsidRPr="00E7286F" w:rsidRDefault="008D678C" w:rsidP="000A5ED3">
      <w:pPr>
        <w:spacing w:line="240" w:lineRule="auto"/>
        <w:jc w:val="both"/>
        <w:rPr>
          <w:sz w:val="24"/>
          <w:szCs w:val="24"/>
          <w:lang w:val="it-IT"/>
        </w:rPr>
      </w:pPr>
      <w:r w:rsidRPr="00E7286F">
        <w:rPr>
          <w:sz w:val="24"/>
          <w:szCs w:val="24"/>
          <w:lang w:val="it-IT"/>
        </w:rPr>
        <w:t xml:space="preserve">Le garanzie sono uno strumento efficace per ridurre il rischio degli istituti di credito e favorire l'erogazione di finanziamenti a valide imprese altrimenti vincolate nell´accesso alle finanze. Così, grazie alle garanzie, le PMI </w:t>
      </w:r>
      <w:r w:rsidR="002F570B" w:rsidRPr="00E7286F">
        <w:rPr>
          <w:sz w:val="24"/>
          <w:szCs w:val="24"/>
          <w:lang w:val="it-IT"/>
        </w:rPr>
        <w:t xml:space="preserve">possono finanziare </w:t>
      </w:r>
      <w:r w:rsidRPr="00E7286F">
        <w:rPr>
          <w:sz w:val="24"/>
          <w:szCs w:val="24"/>
          <w:lang w:val="it-IT"/>
        </w:rPr>
        <w:t xml:space="preserve">progetti economicamente validi </w:t>
      </w:r>
      <w:r w:rsidR="00E7286F" w:rsidRPr="00E7286F">
        <w:rPr>
          <w:sz w:val="24"/>
          <w:szCs w:val="24"/>
          <w:lang w:val="it-IT"/>
        </w:rPr>
        <w:t>nella loro interezza</w:t>
      </w:r>
      <w:r w:rsidR="002F570B" w:rsidRPr="00E7286F">
        <w:rPr>
          <w:sz w:val="24"/>
          <w:szCs w:val="24"/>
          <w:lang w:val="it-IT"/>
        </w:rPr>
        <w:t xml:space="preserve"> o </w:t>
      </w:r>
      <w:r w:rsidRPr="00E7286F">
        <w:rPr>
          <w:sz w:val="24"/>
          <w:szCs w:val="24"/>
          <w:lang w:val="it-IT"/>
        </w:rPr>
        <w:t xml:space="preserve">a condizioni migliori. Per questo motivo, i programmi di garanzia di credito continuano ad essere "lo strumento più utilizzato a disposizione dei governi per facilitare l'accesso delle PMI ai finanziamenti" (OECD, 2015b; </w:t>
      </w:r>
      <w:r w:rsidR="00916C6D" w:rsidRPr="00916C6D">
        <w:rPr>
          <w:i/>
          <w:sz w:val="24"/>
          <w:szCs w:val="24"/>
          <w:lang w:val="it-IT"/>
        </w:rPr>
        <w:t>‘Financing SMEs and Entrepreneurs 2015. An OECD Scoreboard’, OECD Publishing, Paris</w:t>
      </w:r>
      <w:r w:rsidR="00916C6D" w:rsidRPr="00916C6D">
        <w:rPr>
          <w:sz w:val="24"/>
          <w:szCs w:val="24"/>
          <w:lang w:val="it-IT"/>
        </w:rPr>
        <w:t xml:space="preserve"> </w:t>
      </w:r>
      <w:r w:rsidRPr="00E7286F">
        <w:rPr>
          <w:sz w:val="24"/>
          <w:szCs w:val="24"/>
          <w:lang w:val="it-IT"/>
        </w:rPr>
        <w:t>si veda anche l'OCSE, 2015d, 2016b). I programmi son stati ampliati notevolmente negli anni dal 2007 al 2011 siccome i governi hanno risposto alla crisi finanziaria e "mirano sempre più alle imprese giovani e innovative per incrementare l'occupazione ed il valore aggiunto" (OECD, 2016b</w:t>
      </w:r>
      <w:r w:rsidR="00916C6D">
        <w:rPr>
          <w:sz w:val="24"/>
          <w:szCs w:val="24"/>
          <w:lang w:val="it-IT"/>
        </w:rPr>
        <w:t xml:space="preserve">; </w:t>
      </w:r>
      <w:r w:rsidR="00916C6D" w:rsidRPr="00916C6D">
        <w:rPr>
          <w:i/>
          <w:sz w:val="24"/>
          <w:szCs w:val="24"/>
          <w:lang w:val="it-IT"/>
        </w:rPr>
        <w:t>‘Financing SMEs and Entrepreneurs 2016. An OECD Scoreboard, April 2016’</w:t>
      </w:r>
      <w:r w:rsidRPr="00E7286F">
        <w:rPr>
          <w:sz w:val="24"/>
          <w:szCs w:val="24"/>
          <w:lang w:val="it-IT"/>
        </w:rPr>
        <w:t xml:space="preserve">). Uno dei motivi è che i prodotti di garanzia hanno </w:t>
      </w:r>
      <w:r w:rsidR="00E7286F" w:rsidRPr="00E7286F">
        <w:rPr>
          <w:sz w:val="24"/>
          <w:szCs w:val="24"/>
          <w:lang w:val="it-IT"/>
        </w:rPr>
        <w:t xml:space="preserve">effetti macroeconomici positivi, </w:t>
      </w:r>
      <w:r w:rsidRPr="00E7286F">
        <w:rPr>
          <w:sz w:val="24"/>
          <w:szCs w:val="24"/>
          <w:lang w:val="it-IT"/>
        </w:rPr>
        <w:t>il che significa che i costi per i contribuenti</w:t>
      </w:r>
      <w:r w:rsidR="00E7286F" w:rsidRPr="00E7286F">
        <w:rPr>
          <w:sz w:val="24"/>
          <w:szCs w:val="24"/>
          <w:lang w:val="it-IT"/>
        </w:rPr>
        <w:t>,</w:t>
      </w:r>
      <w:r w:rsidRPr="00E7286F">
        <w:rPr>
          <w:sz w:val="24"/>
          <w:szCs w:val="24"/>
          <w:lang w:val="it-IT"/>
        </w:rPr>
        <w:t xml:space="preserve"> dovuti a causa di inadempienze</w:t>
      </w:r>
      <w:r w:rsidR="00E7286F" w:rsidRPr="00E7286F">
        <w:rPr>
          <w:sz w:val="24"/>
          <w:szCs w:val="24"/>
          <w:lang w:val="it-IT"/>
        </w:rPr>
        <w:t>,</w:t>
      </w:r>
      <w:r w:rsidRPr="00E7286F">
        <w:rPr>
          <w:sz w:val="24"/>
          <w:szCs w:val="24"/>
          <w:lang w:val="it-IT"/>
        </w:rPr>
        <w:t xml:space="preserve"> sono controbilanciati dagli effetti positivi </w:t>
      </w:r>
      <w:r w:rsidR="00E7286F" w:rsidRPr="00E7286F">
        <w:rPr>
          <w:sz w:val="24"/>
          <w:szCs w:val="24"/>
          <w:lang w:val="it-IT"/>
        </w:rPr>
        <w:t>e</w:t>
      </w:r>
      <w:r w:rsidRPr="00E7286F">
        <w:rPr>
          <w:sz w:val="24"/>
          <w:szCs w:val="24"/>
          <w:lang w:val="it-IT"/>
        </w:rPr>
        <w:t xml:space="preserve"> </w:t>
      </w:r>
      <w:r w:rsidR="002F570B" w:rsidRPr="00E7286F">
        <w:rPr>
          <w:sz w:val="24"/>
          <w:szCs w:val="24"/>
          <w:lang w:val="it-IT"/>
        </w:rPr>
        <w:t xml:space="preserve">stimolanti che hanno le </w:t>
      </w:r>
      <w:r w:rsidRPr="00E7286F">
        <w:rPr>
          <w:sz w:val="24"/>
          <w:szCs w:val="24"/>
          <w:lang w:val="it-IT"/>
        </w:rPr>
        <w:t>garanzie</w:t>
      </w:r>
      <w:r w:rsidR="002F570B" w:rsidRPr="00E7286F">
        <w:rPr>
          <w:sz w:val="24"/>
          <w:szCs w:val="24"/>
          <w:lang w:val="it-IT"/>
        </w:rPr>
        <w:t xml:space="preserve"> </w:t>
      </w:r>
      <w:r w:rsidRPr="00E7286F">
        <w:rPr>
          <w:sz w:val="24"/>
          <w:szCs w:val="24"/>
          <w:lang w:val="it-IT"/>
        </w:rPr>
        <w:t>in economia, ad esempio sull'occupazione e l´innovazione.</w:t>
      </w:r>
    </w:p>
    <w:p w:rsidR="00FF3CB3" w:rsidRPr="00CF6DE1" w:rsidRDefault="00FF3CB3" w:rsidP="00C15154">
      <w:pPr>
        <w:jc w:val="both"/>
        <w:rPr>
          <w:sz w:val="2"/>
          <w:szCs w:val="24"/>
          <w:lang w:val="it-IT"/>
        </w:rPr>
      </w:pPr>
    </w:p>
    <w:p w:rsidR="008D678C" w:rsidRPr="00E7286F" w:rsidRDefault="008D678C" w:rsidP="00C15154">
      <w:pPr>
        <w:jc w:val="both"/>
        <w:rPr>
          <w:sz w:val="24"/>
          <w:szCs w:val="24"/>
          <w:lang w:val="it-IT"/>
        </w:rPr>
      </w:pPr>
      <w:r w:rsidRPr="00E7286F">
        <w:rPr>
          <w:sz w:val="24"/>
          <w:szCs w:val="24"/>
          <w:lang w:val="it-IT"/>
        </w:rPr>
        <w:t>Istituti di Garanzie di Credito implicano diversi altri vantaggi come, ad esempio, i seguent</w:t>
      </w:r>
      <w:r w:rsidR="00242727" w:rsidRPr="00E7286F">
        <w:rPr>
          <w:sz w:val="24"/>
          <w:szCs w:val="24"/>
          <w:lang w:val="it-IT"/>
        </w:rPr>
        <w:t>i</w:t>
      </w:r>
      <w:r w:rsidRPr="00E7286F">
        <w:rPr>
          <w:sz w:val="24"/>
          <w:szCs w:val="24"/>
          <w:lang w:val="it-IT"/>
        </w:rPr>
        <w:t>:</w:t>
      </w:r>
    </w:p>
    <w:p w:rsidR="008D678C" w:rsidRPr="00E7286F" w:rsidRDefault="008D678C" w:rsidP="00FF3CB3">
      <w:pPr>
        <w:spacing w:after="80"/>
        <w:ind w:left="284" w:hanging="284"/>
        <w:jc w:val="both"/>
        <w:rPr>
          <w:sz w:val="24"/>
          <w:szCs w:val="24"/>
          <w:lang w:val="it-IT"/>
        </w:rPr>
      </w:pPr>
      <w:r w:rsidRPr="00E7286F">
        <w:rPr>
          <w:sz w:val="24"/>
          <w:szCs w:val="24"/>
          <w:lang w:val="it-IT"/>
        </w:rPr>
        <w:t>i.</w:t>
      </w:r>
      <w:r w:rsidRPr="00E7286F">
        <w:rPr>
          <w:sz w:val="24"/>
          <w:szCs w:val="24"/>
          <w:lang w:val="it-IT"/>
        </w:rPr>
        <w:tab/>
        <w:t xml:space="preserve">Rispetto ai programmi di prestito diretto, gli schemi di garanzia di credito hanno esigenze di flusso di cassa iniziale molto piú basse, e come tali, hanno una forte componente di leva (o moltiplicatore), il che significa un uso più efficiente del denaro pubblico. Pertanto, essi possono essere utilizzati anche quando vincoli </w:t>
      </w:r>
      <w:r w:rsidR="00C15154" w:rsidRPr="00E7286F">
        <w:rPr>
          <w:sz w:val="24"/>
          <w:szCs w:val="24"/>
          <w:lang w:val="it-IT"/>
        </w:rPr>
        <w:t>fiscali</w:t>
      </w:r>
      <w:r w:rsidRPr="00E7286F">
        <w:rPr>
          <w:sz w:val="24"/>
          <w:szCs w:val="24"/>
          <w:lang w:val="it-IT"/>
        </w:rPr>
        <w:t xml:space="preserve"> sono piú rigidi.</w:t>
      </w:r>
    </w:p>
    <w:p w:rsidR="008D678C" w:rsidRPr="00E7286F" w:rsidRDefault="008D678C" w:rsidP="00FF3CB3">
      <w:pPr>
        <w:spacing w:after="80"/>
        <w:ind w:left="284" w:hanging="284"/>
        <w:jc w:val="both"/>
        <w:rPr>
          <w:sz w:val="24"/>
          <w:szCs w:val="24"/>
          <w:lang w:val="it-IT"/>
        </w:rPr>
      </w:pPr>
      <w:r w:rsidRPr="00E7286F">
        <w:rPr>
          <w:sz w:val="24"/>
          <w:szCs w:val="24"/>
          <w:lang w:val="it-IT"/>
        </w:rPr>
        <w:t>ii.</w:t>
      </w:r>
      <w:r w:rsidRPr="00E7286F">
        <w:rPr>
          <w:sz w:val="24"/>
          <w:szCs w:val="24"/>
          <w:lang w:val="it-IT"/>
        </w:rPr>
        <w:tab/>
        <w:t>Gli organismi di garanzia sono caratterizzati da una profonda conoscenza del mercato locale. In virtù della loro vicinanza alle PMI</w:t>
      </w:r>
      <w:r w:rsidR="00C15154" w:rsidRPr="00E7286F">
        <w:rPr>
          <w:sz w:val="24"/>
          <w:szCs w:val="24"/>
          <w:lang w:val="it-IT"/>
        </w:rPr>
        <w:t>,</w:t>
      </w:r>
      <w:r w:rsidRPr="00E7286F">
        <w:rPr>
          <w:sz w:val="24"/>
          <w:szCs w:val="24"/>
          <w:lang w:val="it-IT"/>
        </w:rPr>
        <w:t xml:space="preserve"> che sono a volte indirettamente o anche direttamente coinvolte in processi decisionali, sono in grado di valutare a fondo le esigenze di finanziamento delle PMI</w:t>
      </w:r>
      <w:r w:rsidR="00E7286F" w:rsidRPr="00E7286F">
        <w:rPr>
          <w:sz w:val="24"/>
          <w:szCs w:val="24"/>
          <w:lang w:val="it-IT"/>
        </w:rPr>
        <w:t>,</w:t>
      </w:r>
      <w:r w:rsidRPr="00E7286F">
        <w:rPr>
          <w:sz w:val="24"/>
          <w:szCs w:val="24"/>
          <w:lang w:val="it-IT"/>
        </w:rPr>
        <w:t xml:space="preserve"> il che permette loro di selezionare i progetti di qualità superiore e</w:t>
      </w:r>
      <w:r w:rsidR="00C15154" w:rsidRPr="00E7286F">
        <w:rPr>
          <w:sz w:val="24"/>
          <w:szCs w:val="24"/>
          <w:lang w:val="it-IT"/>
        </w:rPr>
        <w:t xml:space="preserve"> quindi</w:t>
      </w:r>
      <w:r w:rsidRPr="00E7286F">
        <w:rPr>
          <w:sz w:val="24"/>
          <w:szCs w:val="24"/>
          <w:lang w:val="it-IT"/>
        </w:rPr>
        <w:t xml:space="preserve"> creare una significativa addizionalità economica.</w:t>
      </w:r>
    </w:p>
    <w:p w:rsidR="008D678C" w:rsidRPr="00E7286F" w:rsidRDefault="008D678C" w:rsidP="00FF3CB3">
      <w:pPr>
        <w:spacing w:after="80"/>
        <w:ind w:left="284" w:hanging="284"/>
        <w:jc w:val="both"/>
        <w:rPr>
          <w:sz w:val="24"/>
          <w:szCs w:val="24"/>
          <w:lang w:val="it-IT"/>
        </w:rPr>
      </w:pPr>
      <w:r w:rsidRPr="00E7286F">
        <w:rPr>
          <w:sz w:val="24"/>
          <w:szCs w:val="24"/>
          <w:lang w:val="it-IT"/>
        </w:rPr>
        <w:t>iii. Siccome gli istituti di garanzia lavorano congiuntamente a tutte le banche delle rispettive regioni/paesi, sono in grado di coprire tutto il range delle PMI.</w:t>
      </w:r>
    </w:p>
    <w:p w:rsidR="008D678C" w:rsidRPr="00E7286F" w:rsidRDefault="008D678C" w:rsidP="008D678C">
      <w:pPr>
        <w:ind w:left="284" w:hanging="284"/>
        <w:jc w:val="both"/>
        <w:rPr>
          <w:sz w:val="24"/>
          <w:szCs w:val="24"/>
          <w:lang w:val="it-IT"/>
        </w:rPr>
      </w:pPr>
      <w:r w:rsidRPr="00E7286F">
        <w:rPr>
          <w:sz w:val="24"/>
          <w:szCs w:val="24"/>
          <w:lang w:val="it-IT"/>
        </w:rPr>
        <w:t xml:space="preserve"> iv. Le garanzie sono meno distorsive rispetto a sovvenzioni o prestiti pubblici. </w:t>
      </w:r>
    </w:p>
    <w:p w:rsidR="00DD09E7" w:rsidRPr="00CF6DE1" w:rsidRDefault="00DD09E7" w:rsidP="00DD09E7">
      <w:pPr>
        <w:ind w:left="284" w:hanging="284"/>
        <w:jc w:val="both"/>
        <w:rPr>
          <w:color w:val="538135" w:themeColor="accent6" w:themeShade="BF"/>
          <w:sz w:val="2"/>
          <w:szCs w:val="12"/>
          <w:lang w:val="it-IT"/>
        </w:rPr>
      </w:pPr>
    </w:p>
    <w:p w:rsidR="008D678C" w:rsidRPr="00C64E9D" w:rsidRDefault="008D678C" w:rsidP="00FF3CB3">
      <w:pPr>
        <w:pStyle w:val="ListParagraph"/>
        <w:numPr>
          <w:ilvl w:val="0"/>
          <w:numId w:val="3"/>
        </w:numPr>
        <w:spacing w:after="0"/>
        <w:ind w:left="357" w:hanging="357"/>
        <w:jc w:val="both"/>
        <w:rPr>
          <w:b/>
          <w:sz w:val="24"/>
          <w:szCs w:val="24"/>
          <w:lang w:val="it-IT"/>
        </w:rPr>
      </w:pPr>
      <w:r w:rsidRPr="00C64E9D">
        <w:rPr>
          <w:b/>
          <w:sz w:val="24"/>
          <w:szCs w:val="24"/>
          <w:lang w:val="it-IT"/>
        </w:rPr>
        <w:t>Valutazione approfondita ex-ante</w:t>
      </w:r>
      <w:r w:rsidRPr="00C64E9D">
        <w:rPr>
          <w:sz w:val="24"/>
          <w:szCs w:val="24"/>
          <w:lang w:val="it-IT"/>
        </w:rPr>
        <w:t xml:space="preserve"> </w:t>
      </w:r>
    </w:p>
    <w:p w:rsidR="00C15154" w:rsidRPr="00C64E9D" w:rsidRDefault="00C15154" w:rsidP="00C15154">
      <w:pPr>
        <w:pStyle w:val="ListParagraph"/>
        <w:ind w:left="360"/>
        <w:jc w:val="both"/>
        <w:rPr>
          <w:b/>
          <w:sz w:val="24"/>
          <w:szCs w:val="24"/>
          <w:lang w:val="it-IT"/>
        </w:rPr>
      </w:pPr>
    </w:p>
    <w:p w:rsidR="008D678C" w:rsidRPr="00C64E9D" w:rsidRDefault="008D678C" w:rsidP="008D678C">
      <w:pPr>
        <w:pStyle w:val="ListParagraph"/>
        <w:ind w:left="0"/>
        <w:jc w:val="both"/>
        <w:rPr>
          <w:b/>
          <w:sz w:val="24"/>
          <w:szCs w:val="24"/>
          <w:lang w:val="it-IT"/>
        </w:rPr>
      </w:pPr>
      <w:r w:rsidRPr="00C64E9D">
        <w:rPr>
          <w:sz w:val="24"/>
          <w:szCs w:val="24"/>
          <w:lang w:val="it-IT"/>
        </w:rPr>
        <w:t xml:space="preserve">Al fine di evitare una sovrapposizione di schemi di finanziamento, che si tratti di nazionale </w:t>
      </w:r>
      <w:r w:rsidR="00E7286F" w:rsidRPr="00C64E9D">
        <w:rPr>
          <w:sz w:val="24"/>
          <w:szCs w:val="24"/>
          <w:lang w:val="it-IT"/>
        </w:rPr>
        <w:t>ed</w:t>
      </w:r>
      <w:r w:rsidRPr="00C64E9D">
        <w:rPr>
          <w:sz w:val="24"/>
          <w:szCs w:val="24"/>
          <w:lang w:val="it-IT"/>
        </w:rPr>
        <w:t xml:space="preserve"> europeo o europei con europei, la valutazione ex ante deve essere effettuata in modo più approfondito. Se fatta correttamente e debitamente, rivela quali possibilità di finanziamento sono già in atto e determina correttamente se un supporto complementare </w:t>
      </w:r>
      <w:r w:rsidR="006F091A" w:rsidRPr="00C64E9D">
        <w:rPr>
          <w:sz w:val="24"/>
          <w:szCs w:val="24"/>
          <w:lang w:val="it-IT"/>
        </w:rPr>
        <w:t>é ancora</w:t>
      </w:r>
      <w:r w:rsidR="00C15154" w:rsidRPr="00C64E9D">
        <w:rPr>
          <w:sz w:val="24"/>
          <w:szCs w:val="24"/>
          <w:lang w:val="it-IT"/>
        </w:rPr>
        <w:t xml:space="preserve"> necessario.</w:t>
      </w:r>
    </w:p>
    <w:p w:rsidR="00DD09E7" w:rsidRPr="00CF6DE1" w:rsidRDefault="00DD09E7" w:rsidP="00FF3CB3">
      <w:pPr>
        <w:ind w:left="284" w:hanging="284"/>
        <w:jc w:val="both"/>
        <w:rPr>
          <w:color w:val="538135" w:themeColor="accent6" w:themeShade="BF"/>
          <w:sz w:val="2"/>
          <w:szCs w:val="12"/>
          <w:lang w:val="it-IT"/>
        </w:rPr>
      </w:pPr>
    </w:p>
    <w:p w:rsidR="00DD09E7" w:rsidRPr="00A11F8B" w:rsidRDefault="00A11F8B" w:rsidP="00DD09E7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  <w:lang w:val="it-IT"/>
        </w:rPr>
      </w:pPr>
      <w:r w:rsidRPr="00A11F8B">
        <w:rPr>
          <w:b/>
          <w:sz w:val="24"/>
          <w:szCs w:val="24"/>
          <w:lang w:val="it-IT"/>
        </w:rPr>
        <w:t xml:space="preserve">Migliorare </w:t>
      </w:r>
      <w:r w:rsidR="00C64E9D">
        <w:rPr>
          <w:b/>
          <w:sz w:val="24"/>
          <w:szCs w:val="24"/>
          <w:lang w:val="it-IT"/>
        </w:rPr>
        <w:t>gli input e la relazione sul</w:t>
      </w:r>
      <w:r w:rsidRPr="00A11F8B">
        <w:rPr>
          <w:b/>
          <w:sz w:val="24"/>
          <w:szCs w:val="24"/>
          <w:lang w:val="it-IT"/>
        </w:rPr>
        <w:t xml:space="preserve">l´impatto dei fondi pubblici </w:t>
      </w:r>
      <w:r w:rsidRPr="00C64E9D">
        <w:rPr>
          <w:b/>
          <w:sz w:val="24"/>
          <w:szCs w:val="24"/>
          <w:lang w:val="it-IT"/>
        </w:rPr>
        <w:t>applicando</w:t>
      </w:r>
      <w:r w:rsidRPr="00A11F8B">
        <w:rPr>
          <w:b/>
          <w:sz w:val="24"/>
          <w:szCs w:val="24"/>
          <w:lang w:val="it-IT"/>
        </w:rPr>
        <w:t xml:space="preserve"> contro-garanzie </w:t>
      </w:r>
      <w:r w:rsidR="00DD09E7" w:rsidRPr="00A11F8B">
        <w:rPr>
          <w:b/>
          <w:sz w:val="24"/>
          <w:szCs w:val="24"/>
          <w:lang w:val="it-IT"/>
        </w:rPr>
        <w:t>(</w:t>
      </w:r>
      <w:r w:rsidRPr="00A11F8B">
        <w:rPr>
          <w:b/>
          <w:sz w:val="24"/>
          <w:szCs w:val="24"/>
          <w:lang w:val="it-IT"/>
        </w:rPr>
        <w:t>a</w:t>
      </w:r>
      <w:r>
        <w:rPr>
          <w:b/>
          <w:sz w:val="24"/>
          <w:szCs w:val="24"/>
          <w:lang w:val="it-IT"/>
        </w:rPr>
        <w:t xml:space="preserve">d esempio rendendo piú favorevoli le condizioni </w:t>
      </w:r>
      <w:r w:rsidRPr="00C64E9D">
        <w:rPr>
          <w:b/>
          <w:sz w:val="24"/>
          <w:szCs w:val="24"/>
          <w:lang w:val="it-IT"/>
        </w:rPr>
        <w:t>per le controgaranzie</w:t>
      </w:r>
      <w:r w:rsidR="00DD09E7" w:rsidRPr="00A11F8B">
        <w:rPr>
          <w:b/>
          <w:sz w:val="24"/>
          <w:szCs w:val="24"/>
          <w:lang w:val="it-IT"/>
        </w:rPr>
        <w:t>)</w:t>
      </w:r>
    </w:p>
    <w:p w:rsidR="005D2FC5" w:rsidRPr="00C64E9D" w:rsidRDefault="005D2FC5" w:rsidP="00FF3CB3">
      <w:pPr>
        <w:spacing w:after="120"/>
        <w:jc w:val="both"/>
        <w:rPr>
          <w:sz w:val="24"/>
          <w:szCs w:val="24"/>
          <w:lang w:val="it-IT"/>
        </w:rPr>
      </w:pPr>
      <w:r w:rsidRPr="00C64E9D">
        <w:rPr>
          <w:sz w:val="24"/>
          <w:szCs w:val="24"/>
          <w:lang w:val="it-IT"/>
        </w:rPr>
        <w:t>Il meccanismo di garanzia dell'Unione europea viene erogat</w:t>
      </w:r>
      <w:r w:rsidR="00887FE4" w:rsidRPr="00C64E9D">
        <w:rPr>
          <w:sz w:val="24"/>
          <w:szCs w:val="24"/>
          <w:lang w:val="it-IT"/>
        </w:rPr>
        <w:t>o attraverso il Fondo Europeo per gli Investimenti (FEI),</w:t>
      </w:r>
      <w:r w:rsidR="00A11F8B" w:rsidRPr="00C64E9D">
        <w:rPr>
          <w:sz w:val="24"/>
          <w:szCs w:val="24"/>
          <w:lang w:val="it-IT"/>
        </w:rPr>
        <w:t xml:space="preserve"> </w:t>
      </w:r>
      <w:r w:rsidR="00887FE4" w:rsidRPr="00C64E9D">
        <w:rPr>
          <w:sz w:val="24"/>
          <w:szCs w:val="24"/>
          <w:lang w:val="it-IT"/>
        </w:rPr>
        <w:t>o</w:t>
      </w:r>
      <w:r w:rsidR="00A11F8B" w:rsidRPr="00C64E9D">
        <w:rPr>
          <w:sz w:val="24"/>
          <w:szCs w:val="24"/>
          <w:lang w:val="it-IT"/>
        </w:rPr>
        <w:t xml:space="preserve"> tramite istituzioni di garanzia sotto forma di controgaranzia (= FEI, organismo di garanzia, banca commerciale, cliente) </w:t>
      </w:r>
      <w:r w:rsidR="00887FE4" w:rsidRPr="00C64E9D">
        <w:rPr>
          <w:sz w:val="24"/>
          <w:szCs w:val="24"/>
          <w:lang w:val="it-IT"/>
        </w:rPr>
        <w:t>oppure</w:t>
      </w:r>
      <w:r w:rsidRPr="00C64E9D">
        <w:rPr>
          <w:sz w:val="24"/>
          <w:szCs w:val="24"/>
          <w:lang w:val="it-IT"/>
        </w:rPr>
        <w:t xml:space="preserve"> tramite le banche commerciali sotto forma di garanzia diretta (= </w:t>
      </w:r>
      <w:r w:rsidR="00887FE4" w:rsidRPr="00C64E9D">
        <w:rPr>
          <w:sz w:val="24"/>
          <w:szCs w:val="24"/>
          <w:lang w:val="it-IT"/>
        </w:rPr>
        <w:t>FEI, banca commerciale, cliente</w:t>
      </w:r>
      <w:r w:rsidRPr="00C64E9D">
        <w:rPr>
          <w:sz w:val="24"/>
          <w:szCs w:val="24"/>
          <w:lang w:val="it-IT"/>
        </w:rPr>
        <w:t xml:space="preserve">). In alcuni paesi, dove </w:t>
      </w:r>
      <w:r w:rsidR="00887FE4" w:rsidRPr="00C64E9D">
        <w:rPr>
          <w:sz w:val="24"/>
          <w:szCs w:val="24"/>
          <w:lang w:val="it-IT"/>
        </w:rPr>
        <w:t>non esistono organismi</w:t>
      </w:r>
      <w:r w:rsidRPr="00C64E9D">
        <w:rPr>
          <w:sz w:val="24"/>
          <w:szCs w:val="24"/>
          <w:lang w:val="it-IT"/>
        </w:rPr>
        <w:t xml:space="preserve"> di garanzia, </w:t>
      </w:r>
      <w:r w:rsidR="00887FE4" w:rsidRPr="00C64E9D">
        <w:rPr>
          <w:sz w:val="24"/>
          <w:szCs w:val="24"/>
          <w:lang w:val="it-IT"/>
        </w:rPr>
        <w:t>come ad esempio</w:t>
      </w:r>
      <w:r w:rsidRPr="00C64E9D">
        <w:rPr>
          <w:sz w:val="24"/>
          <w:szCs w:val="24"/>
          <w:lang w:val="it-IT"/>
        </w:rPr>
        <w:t xml:space="preserve"> </w:t>
      </w:r>
      <w:r w:rsidR="00BF400F" w:rsidRPr="00C64E9D">
        <w:rPr>
          <w:sz w:val="24"/>
          <w:szCs w:val="24"/>
          <w:lang w:val="it-IT"/>
        </w:rPr>
        <w:t xml:space="preserve">a </w:t>
      </w:r>
      <w:r w:rsidRPr="00C64E9D">
        <w:rPr>
          <w:sz w:val="24"/>
          <w:szCs w:val="24"/>
          <w:lang w:val="it-IT"/>
        </w:rPr>
        <w:t xml:space="preserve">Malta, o dove le istituzioni di garanzia non coprono tutti gli strumenti richiesti dalle </w:t>
      </w:r>
      <w:r w:rsidR="00887FE4" w:rsidRPr="00C64E9D">
        <w:rPr>
          <w:sz w:val="24"/>
          <w:szCs w:val="24"/>
          <w:lang w:val="it-IT"/>
        </w:rPr>
        <w:t>PMI</w:t>
      </w:r>
      <w:r w:rsidR="00BF400F" w:rsidRPr="00C64E9D">
        <w:rPr>
          <w:sz w:val="24"/>
          <w:szCs w:val="24"/>
          <w:lang w:val="it-IT"/>
        </w:rPr>
        <w:t>,</w:t>
      </w:r>
      <w:r w:rsidRPr="00C64E9D">
        <w:rPr>
          <w:sz w:val="24"/>
          <w:szCs w:val="24"/>
          <w:lang w:val="it-IT"/>
        </w:rPr>
        <w:t xml:space="preserve"> </w:t>
      </w:r>
      <w:r w:rsidR="00887FE4" w:rsidRPr="00C64E9D">
        <w:rPr>
          <w:sz w:val="24"/>
          <w:szCs w:val="24"/>
          <w:lang w:val="it-IT"/>
        </w:rPr>
        <w:t xml:space="preserve">le </w:t>
      </w:r>
      <w:r w:rsidRPr="00C64E9D">
        <w:rPr>
          <w:sz w:val="24"/>
          <w:szCs w:val="24"/>
          <w:lang w:val="it-IT"/>
        </w:rPr>
        <w:t xml:space="preserve">garanzie dirette sono l'unico modo per entrare in contatto con le PMI o per coprire l'intera gamma di strumenti. </w:t>
      </w:r>
      <w:r w:rsidR="00BF400F" w:rsidRPr="00C64E9D">
        <w:rPr>
          <w:sz w:val="24"/>
          <w:szCs w:val="24"/>
          <w:lang w:val="it-IT"/>
        </w:rPr>
        <w:t>Tuttavia</w:t>
      </w:r>
      <w:r w:rsidRPr="00C64E9D">
        <w:rPr>
          <w:sz w:val="24"/>
          <w:szCs w:val="24"/>
          <w:lang w:val="it-IT"/>
        </w:rPr>
        <w:t>, in un numero crescente di paesi in cui</w:t>
      </w:r>
      <w:r w:rsidR="00887FE4" w:rsidRPr="00C64E9D">
        <w:rPr>
          <w:sz w:val="24"/>
          <w:szCs w:val="24"/>
          <w:lang w:val="it-IT"/>
        </w:rPr>
        <w:t xml:space="preserve"> esistono degli istituti di garanzia, vengono a volte conclusi contratti di garanzia </w:t>
      </w:r>
      <w:r w:rsidR="00BF400F" w:rsidRPr="00C64E9D">
        <w:rPr>
          <w:sz w:val="24"/>
          <w:szCs w:val="24"/>
          <w:lang w:val="it-IT"/>
        </w:rPr>
        <w:t xml:space="preserve">diretta </w:t>
      </w:r>
      <w:r w:rsidRPr="00C64E9D">
        <w:rPr>
          <w:sz w:val="24"/>
          <w:szCs w:val="24"/>
          <w:lang w:val="it-IT"/>
        </w:rPr>
        <w:t>anche in parallelo a contratti di contro-garanzia.</w:t>
      </w:r>
    </w:p>
    <w:p w:rsidR="00180314" w:rsidRPr="00C64E9D" w:rsidRDefault="00180314" w:rsidP="00FF3CB3">
      <w:pPr>
        <w:spacing w:after="120"/>
        <w:jc w:val="both"/>
        <w:rPr>
          <w:sz w:val="24"/>
          <w:szCs w:val="24"/>
          <w:lang w:val="it-IT"/>
        </w:rPr>
      </w:pPr>
      <w:r w:rsidRPr="00C64E9D">
        <w:rPr>
          <w:sz w:val="24"/>
          <w:szCs w:val="24"/>
          <w:lang w:val="it-IT"/>
        </w:rPr>
        <w:t>In caso di contro-garanzia,</w:t>
      </w:r>
    </w:p>
    <w:p w:rsidR="00A26095" w:rsidRPr="00C64E9D" w:rsidRDefault="00180314" w:rsidP="00895AAB">
      <w:pPr>
        <w:pStyle w:val="ListParagraph"/>
        <w:numPr>
          <w:ilvl w:val="1"/>
          <w:numId w:val="2"/>
        </w:numPr>
        <w:ind w:left="709"/>
        <w:jc w:val="both"/>
        <w:rPr>
          <w:sz w:val="24"/>
          <w:szCs w:val="24"/>
          <w:lang w:val="it-IT"/>
        </w:rPr>
      </w:pPr>
      <w:r w:rsidRPr="00C64E9D">
        <w:rPr>
          <w:sz w:val="24"/>
          <w:szCs w:val="24"/>
          <w:lang w:val="it-IT"/>
        </w:rPr>
        <w:t xml:space="preserve">l'impatto sull'economia è piú alto grazie ad una maggiore relazione input/output e ad una addizionalità economica più elevata in termini di innovazione, occupazione e crescita (KPMG 2016 - "L'importanza degli </w:t>
      </w:r>
      <w:r w:rsidRPr="00E22491">
        <w:rPr>
          <w:sz w:val="24"/>
          <w:szCs w:val="24"/>
          <w:lang w:val="it-IT"/>
        </w:rPr>
        <w:t>intermediari finanziari nel finanziamento delle PMI e la valutazione dei diversi effetti economici,</w:t>
      </w:r>
      <w:r w:rsidR="00E22491" w:rsidRPr="00E22491">
        <w:rPr>
          <w:sz w:val="24"/>
          <w:szCs w:val="24"/>
          <w:lang w:val="it-IT"/>
        </w:rPr>
        <w:t xml:space="preserve"> in special mododegli Strumenti finanziari e</w:t>
      </w:r>
      <w:r w:rsidRPr="00E22491">
        <w:rPr>
          <w:sz w:val="24"/>
          <w:szCs w:val="24"/>
          <w:lang w:val="it-IT"/>
        </w:rPr>
        <w:t xml:space="preserve">uropei alla luce </w:t>
      </w:r>
      <w:r w:rsidR="00E22491" w:rsidRPr="00E22491">
        <w:rPr>
          <w:sz w:val="24"/>
          <w:szCs w:val="24"/>
          <w:lang w:val="it-IT"/>
        </w:rPr>
        <w:t>dei contratti di</w:t>
      </w:r>
      <w:r w:rsidRPr="00E22491">
        <w:rPr>
          <w:sz w:val="24"/>
          <w:szCs w:val="24"/>
          <w:lang w:val="it-IT"/>
        </w:rPr>
        <w:t xml:space="preserve"> garanzia diretta contro </w:t>
      </w:r>
      <w:r w:rsidR="00E22491" w:rsidRPr="00E22491">
        <w:rPr>
          <w:sz w:val="24"/>
          <w:szCs w:val="24"/>
          <w:lang w:val="it-IT"/>
        </w:rPr>
        <w:t>quelli</w:t>
      </w:r>
      <w:r w:rsidRPr="00E22491">
        <w:rPr>
          <w:sz w:val="24"/>
          <w:szCs w:val="24"/>
          <w:lang w:val="it-IT"/>
        </w:rPr>
        <w:t xml:space="preserve"> di controgaranzia ");</w:t>
      </w:r>
    </w:p>
    <w:p w:rsidR="00FF3CB3" w:rsidRDefault="00FF3CB3" w:rsidP="00FF3CB3">
      <w:pPr>
        <w:pStyle w:val="ListParagraph"/>
        <w:ind w:left="709"/>
        <w:jc w:val="both"/>
        <w:rPr>
          <w:sz w:val="24"/>
          <w:szCs w:val="24"/>
          <w:lang w:val="it-IT"/>
        </w:rPr>
      </w:pPr>
    </w:p>
    <w:p w:rsidR="00B1442E" w:rsidRPr="00C64E9D" w:rsidRDefault="00180314" w:rsidP="00895AAB">
      <w:pPr>
        <w:pStyle w:val="ListParagraph"/>
        <w:numPr>
          <w:ilvl w:val="1"/>
          <w:numId w:val="2"/>
        </w:numPr>
        <w:ind w:left="709"/>
        <w:jc w:val="both"/>
        <w:rPr>
          <w:sz w:val="24"/>
          <w:szCs w:val="24"/>
          <w:lang w:val="it-IT"/>
        </w:rPr>
      </w:pPr>
      <w:r w:rsidRPr="00C64E9D">
        <w:rPr>
          <w:sz w:val="24"/>
          <w:szCs w:val="24"/>
          <w:lang w:val="it-IT"/>
        </w:rPr>
        <w:t>siccome gli istituti di garanzia lavorano con le banche della regione/paese, raggiungono tutte le PMI e non soltan</w:t>
      </w:r>
      <w:r w:rsidR="00F61A9E" w:rsidRPr="00C64E9D">
        <w:rPr>
          <w:sz w:val="24"/>
          <w:szCs w:val="24"/>
          <w:lang w:val="it-IT"/>
        </w:rPr>
        <w:t>t</w:t>
      </w:r>
      <w:r w:rsidRPr="00C64E9D">
        <w:rPr>
          <w:sz w:val="24"/>
          <w:szCs w:val="24"/>
          <w:lang w:val="it-IT"/>
        </w:rPr>
        <w:t>o una base di clienti specifica;</w:t>
      </w:r>
    </w:p>
    <w:p w:rsidR="00F61A9E" w:rsidRPr="00C64E9D" w:rsidRDefault="00180314" w:rsidP="00895AAB">
      <w:pPr>
        <w:pStyle w:val="ListParagraph"/>
        <w:numPr>
          <w:ilvl w:val="1"/>
          <w:numId w:val="2"/>
        </w:numPr>
        <w:ind w:left="709"/>
        <w:jc w:val="both"/>
        <w:rPr>
          <w:sz w:val="24"/>
          <w:szCs w:val="24"/>
          <w:lang w:val="it-IT"/>
        </w:rPr>
      </w:pPr>
      <w:r w:rsidRPr="00C64E9D">
        <w:rPr>
          <w:sz w:val="24"/>
          <w:szCs w:val="24"/>
          <w:lang w:val="it-IT"/>
        </w:rPr>
        <w:t xml:space="preserve">gli istituti di garanzia forniscono garanzie su base individuale, </w:t>
      </w:r>
      <w:r w:rsidR="00F61A9E" w:rsidRPr="00C64E9D">
        <w:rPr>
          <w:sz w:val="24"/>
          <w:szCs w:val="24"/>
          <w:lang w:val="it-IT"/>
        </w:rPr>
        <w:t>vengono quindi a conoscenza del mercato locale delle PMI</w:t>
      </w:r>
      <w:r w:rsidR="001707B3" w:rsidRPr="00C64E9D">
        <w:rPr>
          <w:sz w:val="24"/>
          <w:szCs w:val="24"/>
          <w:lang w:val="it-IT"/>
        </w:rPr>
        <w:t>,</w:t>
      </w:r>
      <w:r w:rsidR="00F61A9E" w:rsidRPr="00C64E9D">
        <w:rPr>
          <w:sz w:val="24"/>
          <w:szCs w:val="24"/>
          <w:lang w:val="it-IT"/>
        </w:rPr>
        <w:t xml:space="preserve"> incluso il riconoscimento dei fattori soft</w:t>
      </w:r>
      <w:r w:rsidR="001707B3" w:rsidRPr="00C64E9D">
        <w:rPr>
          <w:sz w:val="24"/>
          <w:szCs w:val="24"/>
          <w:lang w:val="it-IT"/>
        </w:rPr>
        <w:t>,</w:t>
      </w:r>
      <w:r w:rsidR="00F61A9E" w:rsidRPr="00C64E9D">
        <w:rPr>
          <w:sz w:val="24"/>
          <w:szCs w:val="24"/>
          <w:lang w:val="it-IT"/>
        </w:rPr>
        <w:t xml:space="preserve"> e possono affrontare il cosiddetto analfabetismo finanziario; </w:t>
      </w:r>
    </w:p>
    <w:p w:rsidR="00F61A9E" w:rsidRDefault="00F61A9E" w:rsidP="00FF3CB3">
      <w:pPr>
        <w:pStyle w:val="ListParagraph"/>
        <w:numPr>
          <w:ilvl w:val="1"/>
          <w:numId w:val="2"/>
        </w:numPr>
        <w:spacing w:after="360" w:line="240" w:lineRule="auto"/>
        <w:ind w:left="709" w:hanging="357"/>
        <w:jc w:val="both"/>
        <w:rPr>
          <w:sz w:val="24"/>
          <w:szCs w:val="24"/>
          <w:lang w:val="it-IT"/>
        </w:rPr>
      </w:pPr>
      <w:r w:rsidRPr="00C64E9D">
        <w:rPr>
          <w:sz w:val="24"/>
          <w:szCs w:val="24"/>
          <w:lang w:val="it-IT"/>
        </w:rPr>
        <w:t xml:space="preserve">gli istituti di garanzia colmano il gap di mercato </w:t>
      </w:r>
      <w:r w:rsidR="001707B3" w:rsidRPr="00C64E9D">
        <w:rPr>
          <w:sz w:val="24"/>
          <w:szCs w:val="24"/>
          <w:lang w:val="it-IT"/>
        </w:rPr>
        <w:t xml:space="preserve">per l´accesso delle PMI ai finanziamenti anche in tempi di crisi, quando son piú necessari, </w:t>
      </w:r>
      <w:r w:rsidR="00C64E9D" w:rsidRPr="00C64E9D">
        <w:rPr>
          <w:sz w:val="24"/>
          <w:szCs w:val="24"/>
          <w:lang w:val="it-IT"/>
        </w:rPr>
        <w:t>grazie alla</w:t>
      </w:r>
      <w:r w:rsidR="001707B3" w:rsidRPr="00C64E9D">
        <w:rPr>
          <w:sz w:val="24"/>
          <w:szCs w:val="24"/>
          <w:lang w:val="it-IT"/>
        </w:rPr>
        <w:t xml:space="preserve"> loro missione promozionale/auto-sostenibile</w:t>
      </w:r>
      <w:r w:rsidR="00FF3CB3">
        <w:rPr>
          <w:sz w:val="24"/>
          <w:szCs w:val="24"/>
          <w:lang w:val="it-IT"/>
        </w:rPr>
        <w:t>.</w:t>
      </w:r>
    </w:p>
    <w:p w:rsidR="00FF3CB3" w:rsidRPr="00C64E9D" w:rsidRDefault="00FF3CB3" w:rsidP="00FF3CB3">
      <w:pPr>
        <w:pStyle w:val="ListParagraph"/>
        <w:spacing w:after="360" w:line="240" w:lineRule="auto"/>
        <w:ind w:left="709"/>
        <w:jc w:val="both"/>
        <w:rPr>
          <w:sz w:val="24"/>
          <w:szCs w:val="24"/>
          <w:lang w:val="it-IT"/>
        </w:rPr>
      </w:pPr>
    </w:p>
    <w:p w:rsidR="001707B3" w:rsidRDefault="001707B3" w:rsidP="00FF3CB3">
      <w:pPr>
        <w:pStyle w:val="ListParagraph"/>
        <w:spacing w:before="240"/>
        <w:ind w:left="357"/>
        <w:jc w:val="both"/>
        <w:rPr>
          <w:sz w:val="24"/>
          <w:szCs w:val="24"/>
          <w:lang w:val="it-IT"/>
        </w:rPr>
      </w:pPr>
      <w:r w:rsidRPr="00E26718">
        <w:rPr>
          <w:sz w:val="24"/>
          <w:szCs w:val="24"/>
          <w:lang w:val="it-IT"/>
        </w:rPr>
        <w:t xml:space="preserve">In conclusione, l'impatto macroeconomico delle controgaranzie è significativamente più alto rispetto a quello delle garanzie dirette e di conseguenza, le condizioni per le controgaranzie dovrebbero essere impostate in modo più favorevole. Tali condizioni favorevoli potrebbero, </w:t>
      </w:r>
      <w:r w:rsidR="0005625D" w:rsidRPr="00E26718">
        <w:rPr>
          <w:sz w:val="24"/>
          <w:szCs w:val="24"/>
          <w:lang w:val="it-IT"/>
        </w:rPr>
        <w:t>ad</w:t>
      </w:r>
      <w:r w:rsidRPr="00E26718">
        <w:rPr>
          <w:sz w:val="24"/>
          <w:szCs w:val="24"/>
          <w:lang w:val="it-IT"/>
        </w:rPr>
        <w:t xml:space="preserve"> esempio, consistere in una migliore determinazione dei prezzi (ad esempio InnovFin). </w:t>
      </w:r>
      <w:r w:rsidR="0005625D" w:rsidRPr="00E26718">
        <w:rPr>
          <w:sz w:val="24"/>
          <w:szCs w:val="24"/>
          <w:lang w:val="it-IT"/>
        </w:rPr>
        <w:t xml:space="preserve">Nei casi </w:t>
      </w:r>
      <w:r w:rsidRPr="00E26718">
        <w:rPr>
          <w:sz w:val="24"/>
          <w:szCs w:val="24"/>
          <w:lang w:val="it-IT"/>
        </w:rPr>
        <w:t xml:space="preserve">in cui la garanzia UE è gratuita (ad esempio Cosme), un trattamento di controgaranzie più conveniente potrebbe essere </w:t>
      </w:r>
      <w:r w:rsidR="00534756" w:rsidRPr="00E26718">
        <w:rPr>
          <w:sz w:val="24"/>
          <w:szCs w:val="24"/>
          <w:lang w:val="it-IT"/>
        </w:rPr>
        <w:t>applicato</w:t>
      </w:r>
      <w:r w:rsidRPr="00E26718">
        <w:rPr>
          <w:sz w:val="24"/>
          <w:szCs w:val="24"/>
          <w:lang w:val="it-IT"/>
        </w:rPr>
        <w:t xml:space="preserve"> nel corso del processo di selezione di ciascun richiedente: Come previsto </w:t>
      </w:r>
      <w:r w:rsidR="00534756" w:rsidRPr="00E26718">
        <w:rPr>
          <w:sz w:val="24"/>
          <w:szCs w:val="24"/>
          <w:lang w:val="it-IT"/>
        </w:rPr>
        <w:t>d</w:t>
      </w:r>
      <w:r w:rsidR="003666DB" w:rsidRPr="00E26718">
        <w:rPr>
          <w:sz w:val="24"/>
          <w:szCs w:val="24"/>
          <w:lang w:val="it-IT"/>
        </w:rPr>
        <w:t>a</w:t>
      </w:r>
      <w:r w:rsidRPr="00E26718">
        <w:rPr>
          <w:sz w:val="24"/>
          <w:szCs w:val="24"/>
          <w:lang w:val="it-IT"/>
        </w:rPr>
        <w:t>ll'invito a manifestare un interesse per il meccanismo di garanzia di prestito COS</w:t>
      </w:r>
      <w:r w:rsidR="0005625D" w:rsidRPr="00E26718">
        <w:rPr>
          <w:sz w:val="24"/>
          <w:szCs w:val="24"/>
          <w:lang w:val="it-IT"/>
        </w:rPr>
        <w:t xml:space="preserve">ME, parte di questo processo </w:t>
      </w:r>
      <w:r w:rsidR="00C64E9D" w:rsidRPr="00E26718">
        <w:rPr>
          <w:sz w:val="24"/>
          <w:szCs w:val="24"/>
          <w:lang w:val="it-IT"/>
        </w:rPr>
        <w:t>consiste nell</w:t>
      </w:r>
      <w:r w:rsidR="0005625D" w:rsidRPr="00E26718">
        <w:rPr>
          <w:sz w:val="24"/>
          <w:szCs w:val="24"/>
          <w:lang w:val="it-IT"/>
        </w:rPr>
        <w:t>´assegnazione di un</w:t>
      </w:r>
      <w:r w:rsidRPr="00E26718">
        <w:rPr>
          <w:sz w:val="24"/>
          <w:szCs w:val="24"/>
          <w:lang w:val="it-IT"/>
        </w:rPr>
        <w:t xml:space="preserve"> punteggio </w:t>
      </w:r>
      <w:r w:rsidR="00534756" w:rsidRPr="00E26718">
        <w:rPr>
          <w:sz w:val="24"/>
          <w:szCs w:val="24"/>
          <w:lang w:val="it-IT"/>
        </w:rPr>
        <w:t>al</w:t>
      </w:r>
      <w:r w:rsidR="0005625D" w:rsidRPr="00E26718">
        <w:rPr>
          <w:sz w:val="24"/>
          <w:szCs w:val="24"/>
          <w:lang w:val="it-IT"/>
        </w:rPr>
        <w:t xml:space="preserve"> </w:t>
      </w:r>
      <w:r w:rsidRPr="00E26718">
        <w:rPr>
          <w:sz w:val="24"/>
          <w:szCs w:val="24"/>
          <w:lang w:val="it-IT"/>
        </w:rPr>
        <w:t xml:space="preserve">richiedente </w:t>
      </w:r>
      <w:r w:rsidR="00534756" w:rsidRPr="00E26718">
        <w:rPr>
          <w:sz w:val="24"/>
          <w:szCs w:val="24"/>
          <w:lang w:val="it-IT"/>
        </w:rPr>
        <w:t>per la quale</w:t>
      </w:r>
      <w:r w:rsidRPr="00E26718">
        <w:rPr>
          <w:sz w:val="24"/>
          <w:szCs w:val="24"/>
          <w:lang w:val="it-IT"/>
        </w:rPr>
        <w:t xml:space="preserve"> </w:t>
      </w:r>
      <w:r w:rsidR="0005625D" w:rsidRPr="00E26718">
        <w:rPr>
          <w:sz w:val="24"/>
          <w:szCs w:val="24"/>
          <w:lang w:val="it-IT"/>
        </w:rPr>
        <w:t>vengono valutati una serie</w:t>
      </w:r>
      <w:r w:rsidRPr="00E26718">
        <w:rPr>
          <w:sz w:val="24"/>
          <w:szCs w:val="24"/>
          <w:lang w:val="it-IT"/>
        </w:rPr>
        <w:t xml:space="preserve"> di criteri. </w:t>
      </w:r>
      <w:r w:rsidR="003666DB" w:rsidRPr="00E26718">
        <w:rPr>
          <w:sz w:val="24"/>
          <w:szCs w:val="24"/>
          <w:lang w:val="it-IT"/>
        </w:rPr>
        <w:t>A questo proposito s</w:t>
      </w:r>
      <w:r w:rsidRPr="00E26718">
        <w:rPr>
          <w:sz w:val="24"/>
          <w:szCs w:val="24"/>
          <w:lang w:val="it-IT"/>
        </w:rPr>
        <w:t xml:space="preserve">i potrebbe includere un criterio </w:t>
      </w:r>
      <w:r w:rsidR="00534756" w:rsidRPr="00E26718">
        <w:rPr>
          <w:sz w:val="24"/>
          <w:szCs w:val="24"/>
          <w:lang w:val="it-IT"/>
        </w:rPr>
        <w:t>per il quale,</w:t>
      </w:r>
      <w:r w:rsidRPr="00E26718">
        <w:rPr>
          <w:sz w:val="24"/>
          <w:szCs w:val="24"/>
          <w:lang w:val="it-IT"/>
        </w:rPr>
        <w:t xml:space="preserve"> se un organismo di garanzia ben funzionante è già in </w:t>
      </w:r>
      <w:r w:rsidR="00534756" w:rsidRPr="00E26718">
        <w:rPr>
          <w:sz w:val="24"/>
          <w:szCs w:val="24"/>
          <w:lang w:val="it-IT"/>
        </w:rPr>
        <w:t>vigore</w:t>
      </w:r>
      <w:r w:rsidRPr="00E26718">
        <w:rPr>
          <w:sz w:val="24"/>
          <w:szCs w:val="24"/>
          <w:lang w:val="it-IT"/>
        </w:rPr>
        <w:t xml:space="preserve"> nel paese del richiedente</w:t>
      </w:r>
      <w:r w:rsidR="00534756" w:rsidRPr="00E26718">
        <w:rPr>
          <w:sz w:val="24"/>
          <w:szCs w:val="24"/>
          <w:lang w:val="it-IT"/>
        </w:rPr>
        <w:t xml:space="preserve"> e s</w:t>
      </w:r>
      <w:r w:rsidRPr="00E26718">
        <w:rPr>
          <w:sz w:val="24"/>
          <w:szCs w:val="24"/>
          <w:lang w:val="it-IT"/>
        </w:rPr>
        <w:t xml:space="preserve">e il richiedente proviene da una tale istituzione, </w:t>
      </w:r>
      <w:r w:rsidR="00534756" w:rsidRPr="00E26718">
        <w:rPr>
          <w:sz w:val="24"/>
          <w:szCs w:val="24"/>
          <w:lang w:val="it-IT"/>
        </w:rPr>
        <w:t>si darebbe al</w:t>
      </w:r>
      <w:r w:rsidRPr="00E26718">
        <w:rPr>
          <w:sz w:val="24"/>
          <w:szCs w:val="24"/>
          <w:lang w:val="it-IT"/>
        </w:rPr>
        <w:t xml:space="preserve">la sua </w:t>
      </w:r>
      <w:r w:rsidR="00534756" w:rsidRPr="00E26718">
        <w:rPr>
          <w:sz w:val="24"/>
          <w:szCs w:val="24"/>
          <w:lang w:val="it-IT"/>
        </w:rPr>
        <w:t>richiesta</w:t>
      </w:r>
      <w:r w:rsidRPr="00E26718">
        <w:rPr>
          <w:sz w:val="24"/>
          <w:szCs w:val="24"/>
          <w:lang w:val="it-IT"/>
        </w:rPr>
        <w:t xml:space="preserve"> una qualità migliore.</w:t>
      </w:r>
    </w:p>
    <w:p w:rsidR="00FF3CB3" w:rsidRPr="00E26718" w:rsidRDefault="00FF3CB3" w:rsidP="00FF3CB3">
      <w:pPr>
        <w:pStyle w:val="ListParagraph"/>
        <w:spacing w:before="240"/>
        <w:ind w:left="357"/>
        <w:jc w:val="both"/>
        <w:rPr>
          <w:sz w:val="24"/>
          <w:szCs w:val="24"/>
          <w:lang w:val="it-IT"/>
        </w:rPr>
      </w:pPr>
    </w:p>
    <w:p w:rsidR="0074323D" w:rsidRPr="00E22491" w:rsidRDefault="0074323D" w:rsidP="0074323D">
      <w:pPr>
        <w:ind w:left="284" w:hanging="284"/>
        <w:jc w:val="both"/>
        <w:rPr>
          <w:b/>
          <w:sz w:val="24"/>
          <w:szCs w:val="24"/>
          <w:lang w:val="it-IT"/>
        </w:rPr>
      </w:pPr>
      <w:r w:rsidRPr="00E22491">
        <w:rPr>
          <w:b/>
          <w:sz w:val="24"/>
          <w:szCs w:val="24"/>
          <w:lang w:val="it-IT"/>
        </w:rPr>
        <w:t>• Revisione della comunicazione europea C155 / 2008</w:t>
      </w:r>
    </w:p>
    <w:p w:rsidR="00473F03" w:rsidRDefault="0074323D" w:rsidP="0074323D">
      <w:pPr>
        <w:ind w:left="270"/>
        <w:jc w:val="both"/>
        <w:rPr>
          <w:sz w:val="24"/>
          <w:szCs w:val="24"/>
          <w:lang w:val="it-IT"/>
        </w:rPr>
      </w:pPr>
      <w:r w:rsidRPr="00E22491">
        <w:rPr>
          <w:sz w:val="24"/>
          <w:szCs w:val="24"/>
          <w:lang w:val="it-IT"/>
        </w:rPr>
        <w:t xml:space="preserve">Al fine di facilitare l'accesso di un maggior numero di PMI ai regimi di garanzia/contro-garanzia, è necessario rivedere la comunicazione n. 155/2008 aggiornando il rating e il livello delle commissioni di garanzia </w:t>
      </w:r>
      <w:r w:rsidR="00E22491">
        <w:rPr>
          <w:sz w:val="24"/>
          <w:szCs w:val="24"/>
          <w:lang w:val="it-IT"/>
        </w:rPr>
        <w:t>per renderli conformi con</w:t>
      </w:r>
      <w:r w:rsidRPr="00E22491">
        <w:rPr>
          <w:sz w:val="24"/>
          <w:szCs w:val="24"/>
          <w:lang w:val="it-IT"/>
        </w:rPr>
        <w:t xml:space="preserve"> </w:t>
      </w:r>
      <w:r w:rsidR="00E22491">
        <w:rPr>
          <w:sz w:val="24"/>
          <w:szCs w:val="24"/>
          <w:lang w:val="it-IT"/>
        </w:rPr>
        <w:t xml:space="preserve">il </w:t>
      </w:r>
      <w:r w:rsidRPr="00E22491">
        <w:rPr>
          <w:sz w:val="24"/>
          <w:szCs w:val="24"/>
          <w:lang w:val="it-IT"/>
        </w:rPr>
        <w:t>nuovo ambiente economico dei paesi dopo la crisi finanziaria. L'attuale livello del canone minimo prescritto nella presente comunicazione è molto alto rispetto ai tassi di interesse correnti per i prestiti il che si traduce in un impatto negativo sull'accesso ai finanziamenti delle PMI.</w:t>
      </w:r>
    </w:p>
    <w:p w:rsidR="00FB6E3E" w:rsidRPr="00E460DC" w:rsidRDefault="002162E2" w:rsidP="00E628DC">
      <w:pPr>
        <w:ind w:left="284" w:hanging="284"/>
        <w:jc w:val="both"/>
        <w:rPr>
          <w:b/>
          <w:sz w:val="24"/>
          <w:szCs w:val="24"/>
          <w:lang w:val="it-IT"/>
        </w:rPr>
      </w:pPr>
      <w:r w:rsidRPr="00E460DC">
        <w:rPr>
          <w:b/>
          <w:sz w:val="24"/>
          <w:szCs w:val="24"/>
          <w:lang w:val="it-IT"/>
        </w:rPr>
        <w:t>•</w:t>
      </w:r>
      <w:r w:rsidRPr="00E460DC">
        <w:rPr>
          <w:b/>
          <w:sz w:val="24"/>
          <w:szCs w:val="24"/>
          <w:lang w:val="it-IT"/>
        </w:rPr>
        <w:tab/>
      </w:r>
      <w:r w:rsidR="00E628DC" w:rsidRPr="00E460DC">
        <w:rPr>
          <w:b/>
          <w:sz w:val="24"/>
          <w:szCs w:val="24"/>
          <w:lang w:val="it-IT"/>
        </w:rPr>
        <w:t>Finanziamenti suffic</w:t>
      </w:r>
      <w:r w:rsidR="004817A6" w:rsidRPr="00E460DC">
        <w:rPr>
          <w:b/>
          <w:sz w:val="24"/>
          <w:szCs w:val="24"/>
          <w:lang w:val="it-IT"/>
        </w:rPr>
        <w:t>i</w:t>
      </w:r>
      <w:r w:rsidR="00E628DC" w:rsidRPr="00E460DC">
        <w:rPr>
          <w:b/>
          <w:sz w:val="24"/>
          <w:szCs w:val="24"/>
          <w:lang w:val="it-IT"/>
        </w:rPr>
        <w:t xml:space="preserve">enti per </w:t>
      </w:r>
      <w:r w:rsidR="00FB6E3E" w:rsidRPr="00E460DC">
        <w:rPr>
          <w:b/>
          <w:sz w:val="24"/>
          <w:szCs w:val="24"/>
          <w:lang w:val="it-IT"/>
        </w:rPr>
        <w:t xml:space="preserve">COSME </w:t>
      </w:r>
      <w:r w:rsidR="00E628DC" w:rsidRPr="00E460DC">
        <w:rPr>
          <w:b/>
          <w:sz w:val="24"/>
          <w:szCs w:val="24"/>
          <w:lang w:val="it-IT"/>
        </w:rPr>
        <w:t>e</w:t>
      </w:r>
      <w:r w:rsidR="00FB6E3E" w:rsidRPr="00E460DC">
        <w:rPr>
          <w:b/>
          <w:sz w:val="24"/>
          <w:szCs w:val="24"/>
          <w:lang w:val="it-IT"/>
        </w:rPr>
        <w:t xml:space="preserve"> InnovFin </w:t>
      </w:r>
    </w:p>
    <w:p w:rsidR="00F06F7F" w:rsidRDefault="00E460DC" w:rsidP="004817A6">
      <w:pPr>
        <w:ind w:left="270"/>
        <w:jc w:val="both"/>
        <w:rPr>
          <w:sz w:val="24"/>
          <w:szCs w:val="24"/>
          <w:lang w:val="it-IT"/>
        </w:rPr>
      </w:pPr>
      <w:r w:rsidRPr="00E460DC">
        <w:rPr>
          <w:sz w:val="24"/>
          <w:szCs w:val="24"/>
          <w:lang w:val="it-IT"/>
        </w:rPr>
        <w:t xml:space="preserve">Considerata la particolare </w:t>
      </w:r>
      <w:r w:rsidR="00E628DC" w:rsidRPr="00E460DC">
        <w:rPr>
          <w:sz w:val="24"/>
          <w:szCs w:val="24"/>
          <w:lang w:val="it-IT"/>
        </w:rPr>
        <w:t xml:space="preserve">importanza del meccanismo di garanzia COSME per il sostegno delle piccole e medie imprese e anche in considerazione della forte domanda </w:t>
      </w:r>
      <w:r w:rsidR="004817A6" w:rsidRPr="00E460DC">
        <w:rPr>
          <w:sz w:val="24"/>
          <w:szCs w:val="24"/>
          <w:lang w:val="it-IT"/>
        </w:rPr>
        <w:t>di utilizzo dell</w:t>
      </w:r>
      <w:r w:rsidR="00E628DC" w:rsidRPr="00E460DC">
        <w:rPr>
          <w:sz w:val="24"/>
          <w:szCs w:val="24"/>
          <w:lang w:val="it-IT"/>
        </w:rPr>
        <w:t>o strumento di garanzia InnovFi</w:t>
      </w:r>
      <w:r w:rsidR="004817A6" w:rsidRPr="00E460DC">
        <w:rPr>
          <w:sz w:val="24"/>
          <w:szCs w:val="24"/>
          <w:lang w:val="it-IT"/>
        </w:rPr>
        <w:t xml:space="preserve">n, abbiamo profonda fiducia nel fatto che </w:t>
      </w:r>
      <w:r w:rsidR="00E628DC" w:rsidRPr="00E460DC">
        <w:rPr>
          <w:sz w:val="24"/>
          <w:szCs w:val="24"/>
          <w:lang w:val="it-IT"/>
        </w:rPr>
        <w:t xml:space="preserve">l'Unione europea </w:t>
      </w:r>
      <w:r w:rsidR="004817A6" w:rsidRPr="00E460DC">
        <w:rPr>
          <w:sz w:val="24"/>
          <w:szCs w:val="24"/>
          <w:lang w:val="it-IT"/>
        </w:rPr>
        <w:t>munisca</w:t>
      </w:r>
      <w:r w:rsidR="00E628DC" w:rsidRPr="00E460DC">
        <w:rPr>
          <w:sz w:val="24"/>
          <w:szCs w:val="24"/>
          <w:lang w:val="it-IT"/>
        </w:rPr>
        <w:t xml:space="preserve"> tali strumenti </w:t>
      </w:r>
      <w:r w:rsidR="004817A6" w:rsidRPr="00E460DC">
        <w:rPr>
          <w:sz w:val="24"/>
          <w:szCs w:val="24"/>
          <w:lang w:val="it-IT"/>
        </w:rPr>
        <w:t>di</w:t>
      </w:r>
      <w:r w:rsidR="00E628DC" w:rsidRPr="00E460DC">
        <w:rPr>
          <w:sz w:val="24"/>
          <w:szCs w:val="24"/>
          <w:lang w:val="it-IT"/>
        </w:rPr>
        <w:t xml:space="preserve"> fondi sufficienti. </w:t>
      </w:r>
      <w:r w:rsidR="004817A6" w:rsidRPr="00E460DC">
        <w:rPr>
          <w:sz w:val="24"/>
          <w:szCs w:val="24"/>
          <w:lang w:val="it-IT"/>
        </w:rPr>
        <w:t>A questo proposito</w:t>
      </w:r>
      <w:r w:rsidR="00E628DC" w:rsidRPr="00E460DC">
        <w:rPr>
          <w:sz w:val="24"/>
          <w:szCs w:val="24"/>
          <w:lang w:val="it-IT"/>
        </w:rPr>
        <w:t>, siamo stati lieti di apprendere che il finanziamento inizialmente previsto per COSME è stato più che raddoppiato</w:t>
      </w:r>
      <w:r w:rsidR="004817A6" w:rsidRPr="00E460DC">
        <w:rPr>
          <w:sz w:val="24"/>
          <w:szCs w:val="24"/>
          <w:lang w:val="it-IT"/>
        </w:rPr>
        <w:t xml:space="preserve"> grazie soprattutto </w:t>
      </w:r>
      <w:r w:rsidR="00E628DC" w:rsidRPr="00E460DC">
        <w:rPr>
          <w:sz w:val="24"/>
          <w:szCs w:val="24"/>
          <w:lang w:val="it-IT"/>
        </w:rPr>
        <w:t>a</w:t>
      </w:r>
      <w:r w:rsidR="004817A6" w:rsidRPr="00E460DC">
        <w:rPr>
          <w:sz w:val="24"/>
          <w:szCs w:val="24"/>
          <w:lang w:val="it-IT"/>
        </w:rPr>
        <w:t>d</w:t>
      </w:r>
      <w:r w:rsidR="00E628DC" w:rsidRPr="00E460DC">
        <w:rPr>
          <w:sz w:val="24"/>
          <w:szCs w:val="24"/>
          <w:lang w:val="it-IT"/>
        </w:rPr>
        <w:t xml:space="preserve"> EFSI 2.0. Pertanto, chiediamo </w:t>
      </w:r>
      <w:r w:rsidR="004817A6" w:rsidRPr="00E460DC">
        <w:rPr>
          <w:sz w:val="24"/>
          <w:szCs w:val="24"/>
          <w:lang w:val="it-IT"/>
        </w:rPr>
        <w:t>a</w:t>
      </w:r>
      <w:r w:rsidR="00E628DC" w:rsidRPr="00E460DC">
        <w:rPr>
          <w:sz w:val="24"/>
          <w:szCs w:val="24"/>
          <w:lang w:val="it-IT"/>
        </w:rPr>
        <w:t xml:space="preserve">i legislatori europei </w:t>
      </w:r>
      <w:r w:rsidR="004817A6" w:rsidRPr="00E460DC">
        <w:rPr>
          <w:sz w:val="24"/>
          <w:szCs w:val="24"/>
          <w:lang w:val="it-IT"/>
        </w:rPr>
        <w:t>di</w:t>
      </w:r>
      <w:r w:rsidR="00E628DC" w:rsidRPr="00E460DC">
        <w:rPr>
          <w:sz w:val="24"/>
          <w:szCs w:val="24"/>
          <w:lang w:val="it-IT"/>
        </w:rPr>
        <w:t xml:space="preserve"> continuare a</w:t>
      </w:r>
      <w:r w:rsidR="004817A6" w:rsidRPr="00E460DC">
        <w:rPr>
          <w:sz w:val="24"/>
          <w:szCs w:val="24"/>
          <w:lang w:val="it-IT"/>
        </w:rPr>
        <w:t>d</w:t>
      </w:r>
      <w:r w:rsidR="00E628DC" w:rsidRPr="00E460DC">
        <w:rPr>
          <w:sz w:val="24"/>
          <w:szCs w:val="24"/>
          <w:lang w:val="it-IT"/>
        </w:rPr>
        <w:t xml:space="preserve"> </w:t>
      </w:r>
      <w:r w:rsidR="004817A6" w:rsidRPr="00E460DC">
        <w:rPr>
          <w:sz w:val="24"/>
          <w:szCs w:val="24"/>
          <w:lang w:val="it-IT"/>
        </w:rPr>
        <w:t>assicurare</w:t>
      </w:r>
      <w:r w:rsidR="00E628DC" w:rsidRPr="00E460DC">
        <w:rPr>
          <w:sz w:val="24"/>
          <w:szCs w:val="24"/>
          <w:lang w:val="it-IT"/>
        </w:rPr>
        <w:t xml:space="preserve"> che il fabbisogno finanziario delle PMI è riconosciuto e</w:t>
      </w:r>
      <w:r w:rsidR="0074323D" w:rsidRPr="00E460DC">
        <w:rPr>
          <w:sz w:val="24"/>
          <w:szCs w:val="24"/>
          <w:lang w:val="it-IT"/>
        </w:rPr>
        <w:t>d</w:t>
      </w:r>
      <w:r w:rsidR="00E628DC" w:rsidRPr="00E460DC">
        <w:rPr>
          <w:sz w:val="24"/>
          <w:szCs w:val="24"/>
          <w:lang w:val="it-IT"/>
        </w:rPr>
        <w:t xml:space="preserve"> affrontato con successo, </w:t>
      </w:r>
      <w:r w:rsidR="0074323D" w:rsidRPr="00E460DC">
        <w:rPr>
          <w:sz w:val="24"/>
          <w:szCs w:val="24"/>
          <w:lang w:val="it-IT"/>
        </w:rPr>
        <w:t>dando per certo</w:t>
      </w:r>
      <w:r w:rsidR="00E628DC" w:rsidRPr="00E460DC">
        <w:rPr>
          <w:sz w:val="24"/>
          <w:szCs w:val="24"/>
          <w:lang w:val="it-IT"/>
        </w:rPr>
        <w:t xml:space="preserve"> che le risorse finan</w:t>
      </w:r>
      <w:r w:rsidR="004817A6" w:rsidRPr="00E460DC">
        <w:rPr>
          <w:sz w:val="24"/>
          <w:szCs w:val="24"/>
          <w:lang w:val="it-IT"/>
        </w:rPr>
        <w:t xml:space="preserve">ziarie sufficienti saranno messe </w:t>
      </w:r>
      <w:r w:rsidR="00E628DC" w:rsidRPr="00E460DC">
        <w:rPr>
          <w:sz w:val="24"/>
          <w:szCs w:val="24"/>
          <w:lang w:val="it-IT"/>
        </w:rPr>
        <w:t>a disposizione.</w:t>
      </w:r>
    </w:p>
    <w:p w:rsidR="00895AAB" w:rsidRPr="00E628DC" w:rsidRDefault="00895AAB" w:rsidP="00895AAB">
      <w:pPr>
        <w:pStyle w:val="ListParagraph"/>
        <w:ind w:left="360"/>
        <w:jc w:val="both"/>
        <w:rPr>
          <w:b/>
          <w:sz w:val="24"/>
          <w:szCs w:val="24"/>
          <w:lang w:val="it-IT"/>
        </w:rPr>
      </w:pPr>
    </w:p>
    <w:p w:rsidR="001573C0" w:rsidRPr="00E460DC" w:rsidRDefault="001573C0" w:rsidP="002A78A1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  <w:lang w:val="it-IT"/>
        </w:rPr>
      </w:pPr>
      <w:r w:rsidRPr="00E460DC">
        <w:rPr>
          <w:b/>
          <w:sz w:val="24"/>
          <w:szCs w:val="24"/>
          <w:lang w:val="it-IT"/>
        </w:rPr>
        <w:t>Campo di applicazione per adempiere alle esigenze delle PMI</w:t>
      </w:r>
    </w:p>
    <w:p w:rsidR="001573C0" w:rsidRPr="00E460DC" w:rsidRDefault="001573C0" w:rsidP="001573C0">
      <w:pPr>
        <w:ind w:left="284"/>
        <w:jc w:val="both"/>
        <w:rPr>
          <w:sz w:val="24"/>
          <w:szCs w:val="24"/>
          <w:lang w:val="it-IT"/>
        </w:rPr>
      </w:pPr>
      <w:r w:rsidRPr="00E460DC">
        <w:rPr>
          <w:sz w:val="24"/>
          <w:szCs w:val="24"/>
          <w:lang w:val="it-IT"/>
        </w:rPr>
        <w:t xml:space="preserve">I criteri di ammissibilità delle </w:t>
      </w:r>
      <w:r w:rsidR="00E628DC" w:rsidRPr="00E460DC">
        <w:rPr>
          <w:sz w:val="24"/>
          <w:szCs w:val="24"/>
          <w:lang w:val="it-IT"/>
        </w:rPr>
        <w:t>transazioni</w:t>
      </w:r>
      <w:r w:rsidRPr="00E460DC">
        <w:rPr>
          <w:sz w:val="24"/>
          <w:szCs w:val="24"/>
          <w:lang w:val="it-IT"/>
        </w:rPr>
        <w:t xml:space="preserve"> </w:t>
      </w:r>
      <w:r w:rsidR="00E628DC" w:rsidRPr="00E460DC">
        <w:rPr>
          <w:sz w:val="24"/>
          <w:szCs w:val="24"/>
          <w:lang w:val="it-IT"/>
        </w:rPr>
        <w:t>dovrebbero</w:t>
      </w:r>
      <w:r w:rsidRPr="00E460DC">
        <w:rPr>
          <w:sz w:val="24"/>
          <w:szCs w:val="24"/>
          <w:lang w:val="it-IT"/>
        </w:rPr>
        <w:t xml:space="preserve"> essere definit</w:t>
      </w:r>
      <w:r w:rsidR="00E628DC" w:rsidRPr="00E460DC">
        <w:rPr>
          <w:sz w:val="24"/>
          <w:szCs w:val="24"/>
          <w:lang w:val="it-IT"/>
        </w:rPr>
        <w:t>i</w:t>
      </w:r>
      <w:r w:rsidRPr="00E460DC">
        <w:rPr>
          <w:sz w:val="24"/>
          <w:szCs w:val="24"/>
          <w:lang w:val="it-IT"/>
        </w:rPr>
        <w:t xml:space="preserve"> in base alle esigenze delle PMI. A questo proposito, ci rallegriamo </w:t>
      </w:r>
      <w:r w:rsidR="00E628DC" w:rsidRPr="00E460DC">
        <w:rPr>
          <w:sz w:val="24"/>
          <w:szCs w:val="24"/>
          <w:lang w:val="it-IT"/>
        </w:rPr>
        <w:t>del cambiamento in seno ad</w:t>
      </w:r>
      <w:r w:rsidRPr="00E460DC">
        <w:rPr>
          <w:sz w:val="24"/>
          <w:szCs w:val="24"/>
          <w:lang w:val="it-IT"/>
        </w:rPr>
        <w:t xml:space="preserve"> InnovFin </w:t>
      </w:r>
      <w:r w:rsidR="00E628DC" w:rsidRPr="00E460DC">
        <w:rPr>
          <w:sz w:val="24"/>
          <w:szCs w:val="24"/>
          <w:lang w:val="it-IT"/>
        </w:rPr>
        <w:t xml:space="preserve">che in futuro coprirá </w:t>
      </w:r>
      <w:r w:rsidRPr="00E460DC">
        <w:rPr>
          <w:sz w:val="24"/>
          <w:szCs w:val="24"/>
          <w:lang w:val="it-IT"/>
        </w:rPr>
        <w:t xml:space="preserve">anche </w:t>
      </w:r>
      <w:r w:rsidR="00E628DC" w:rsidRPr="00E460DC">
        <w:rPr>
          <w:sz w:val="24"/>
          <w:szCs w:val="24"/>
          <w:lang w:val="it-IT"/>
        </w:rPr>
        <w:t>i prodotti mezzanini</w:t>
      </w:r>
      <w:r w:rsidRPr="00E460DC">
        <w:rPr>
          <w:sz w:val="24"/>
          <w:szCs w:val="24"/>
          <w:lang w:val="it-IT"/>
        </w:rPr>
        <w:t xml:space="preserve"> come prestiti subordinati, </w:t>
      </w:r>
      <w:r w:rsidR="00E460DC" w:rsidRPr="00E460DC">
        <w:rPr>
          <w:sz w:val="24"/>
          <w:szCs w:val="24"/>
          <w:lang w:val="it-IT"/>
        </w:rPr>
        <w:t>i quali</w:t>
      </w:r>
      <w:r w:rsidRPr="00E460DC">
        <w:rPr>
          <w:sz w:val="24"/>
          <w:szCs w:val="24"/>
          <w:lang w:val="it-IT"/>
        </w:rPr>
        <w:t xml:space="preserve"> sono utilizzati dalle PMI tradizionali come strumenti quasi-equity.</w:t>
      </w:r>
    </w:p>
    <w:p w:rsidR="00133F41" w:rsidRPr="001573C0" w:rsidRDefault="00133F41" w:rsidP="0089113D">
      <w:pPr>
        <w:jc w:val="both"/>
        <w:rPr>
          <w:b/>
          <w:sz w:val="24"/>
          <w:szCs w:val="24"/>
          <w:lang w:val="it-IT"/>
        </w:rPr>
      </w:pPr>
    </w:p>
    <w:p w:rsidR="000D0BD4" w:rsidRPr="00E460DC" w:rsidRDefault="00FB6E3E" w:rsidP="0089113D">
      <w:pPr>
        <w:ind w:left="284" w:hanging="284"/>
        <w:jc w:val="both"/>
        <w:rPr>
          <w:b/>
          <w:sz w:val="24"/>
          <w:szCs w:val="24"/>
          <w:lang w:val="it-IT"/>
        </w:rPr>
      </w:pPr>
      <w:r w:rsidRPr="00E460DC">
        <w:rPr>
          <w:b/>
          <w:sz w:val="24"/>
          <w:szCs w:val="24"/>
          <w:lang w:val="it-IT"/>
        </w:rPr>
        <w:t>•</w:t>
      </w:r>
      <w:r w:rsidRPr="00E460DC">
        <w:rPr>
          <w:b/>
          <w:sz w:val="24"/>
          <w:szCs w:val="24"/>
          <w:lang w:val="it-IT"/>
        </w:rPr>
        <w:tab/>
      </w:r>
      <w:r w:rsidR="00E00E93" w:rsidRPr="00E460DC">
        <w:rPr>
          <w:b/>
          <w:sz w:val="24"/>
          <w:szCs w:val="24"/>
          <w:lang w:val="it-IT"/>
        </w:rPr>
        <w:t xml:space="preserve">L´abolizione della soglia di </w:t>
      </w:r>
      <w:r w:rsidR="000D0BD4" w:rsidRPr="00E460DC">
        <w:rPr>
          <w:b/>
          <w:sz w:val="24"/>
          <w:szCs w:val="24"/>
          <w:lang w:val="it-IT"/>
        </w:rPr>
        <w:t xml:space="preserve">150 000 EUR </w:t>
      </w:r>
      <w:r w:rsidR="0050786A">
        <w:rPr>
          <w:b/>
          <w:sz w:val="24"/>
          <w:szCs w:val="24"/>
          <w:lang w:val="it-IT"/>
        </w:rPr>
        <w:t>di</w:t>
      </w:r>
      <w:r w:rsidR="00E00E93" w:rsidRPr="00E460DC">
        <w:rPr>
          <w:b/>
          <w:sz w:val="24"/>
          <w:szCs w:val="24"/>
          <w:lang w:val="it-IT"/>
        </w:rPr>
        <w:t xml:space="preserve"> </w:t>
      </w:r>
      <w:r w:rsidR="000D0BD4" w:rsidRPr="00E460DC">
        <w:rPr>
          <w:b/>
          <w:sz w:val="24"/>
          <w:szCs w:val="24"/>
          <w:lang w:val="it-IT"/>
        </w:rPr>
        <w:t>COSME</w:t>
      </w:r>
    </w:p>
    <w:p w:rsidR="00E00E93" w:rsidRDefault="00E00E93" w:rsidP="00E00E93">
      <w:pPr>
        <w:ind w:left="284"/>
        <w:jc w:val="both"/>
        <w:rPr>
          <w:sz w:val="24"/>
          <w:szCs w:val="24"/>
          <w:lang w:val="it-IT"/>
        </w:rPr>
      </w:pPr>
      <w:r w:rsidRPr="0050786A">
        <w:rPr>
          <w:sz w:val="24"/>
          <w:szCs w:val="24"/>
          <w:lang w:val="it-IT"/>
        </w:rPr>
        <w:t>Il programma</w:t>
      </w:r>
      <w:r w:rsidR="00E460DC" w:rsidRPr="0050786A">
        <w:rPr>
          <w:sz w:val="24"/>
          <w:szCs w:val="24"/>
          <w:lang w:val="it-IT"/>
        </w:rPr>
        <w:t xml:space="preserve"> di garanzia dei prestiti</w:t>
      </w:r>
      <w:r w:rsidRPr="0050786A">
        <w:rPr>
          <w:sz w:val="24"/>
          <w:szCs w:val="24"/>
          <w:lang w:val="it-IT"/>
        </w:rPr>
        <w:t xml:space="preserve"> COSME fornisce finanziamenti per le PMI fino a 150.000 euro per qualsiasi tipo di PMI. Al di sopra di questa soglia, introdotta di recente nell´attuale periodo di programmazione, COSME è applicabile solo se la PMI non soddisfa nessuno dei criteri per beneficiare InnovFin. Dal momento che la delimitazione a questo punto necessaria non è sempre evidente ed è spesso gravosa, chiediamo di abolirla del tutto e di tornare al precedente status quo del CIP e MAP, </w:t>
      </w:r>
      <w:r w:rsidR="007A3574" w:rsidRPr="0050786A">
        <w:rPr>
          <w:sz w:val="24"/>
          <w:szCs w:val="24"/>
          <w:lang w:val="it-IT"/>
        </w:rPr>
        <w:t>che meglio si conforma</w:t>
      </w:r>
      <w:r w:rsidRPr="0050786A">
        <w:rPr>
          <w:sz w:val="24"/>
          <w:szCs w:val="24"/>
          <w:lang w:val="it-IT"/>
        </w:rPr>
        <w:t xml:space="preserve"> alle esigenze </w:t>
      </w:r>
      <w:r w:rsidR="007A3574" w:rsidRPr="0050786A">
        <w:rPr>
          <w:sz w:val="24"/>
          <w:szCs w:val="24"/>
          <w:lang w:val="it-IT"/>
        </w:rPr>
        <w:t>di</w:t>
      </w:r>
      <w:r w:rsidRPr="0050786A">
        <w:rPr>
          <w:sz w:val="24"/>
          <w:szCs w:val="24"/>
          <w:lang w:val="it-IT"/>
        </w:rPr>
        <w:t xml:space="preserve"> mercato delle PMI.</w:t>
      </w:r>
    </w:p>
    <w:p w:rsidR="00FF3CB3" w:rsidRPr="0050786A" w:rsidRDefault="00FF3CB3" w:rsidP="00E00E93">
      <w:pPr>
        <w:ind w:left="284"/>
        <w:jc w:val="both"/>
        <w:rPr>
          <w:sz w:val="24"/>
          <w:szCs w:val="24"/>
          <w:lang w:val="it-IT"/>
        </w:rPr>
      </w:pPr>
    </w:p>
    <w:p w:rsidR="00691BCC" w:rsidRPr="0050786A" w:rsidRDefault="00691BCC" w:rsidP="00691BCC">
      <w:pPr>
        <w:ind w:left="284" w:hanging="284"/>
        <w:jc w:val="both"/>
        <w:rPr>
          <w:b/>
          <w:sz w:val="24"/>
          <w:szCs w:val="24"/>
          <w:lang w:val="it-IT"/>
        </w:rPr>
      </w:pPr>
      <w:r w:rsidRPr="0050786A">
        <w:rPr>
          <w:b/>
          <w:sz w:val="24"/>
          <w:szCs w:val="24"/>
          <w:lang w:val="it-IT"/>
        </w:rPr>
        <w:t>•</w:t>
      </w:r>
      <w:r w:rsidRPr="0050786A">
        <w:rPr>
          <w:b/>
          <w:sz w:val="24"/>
          <w:szCs w:val="24"/>
          <w:lang w:val="it-IT"/>
        </w:rPr>
        <w:tab/>
        <w:t xml:space="preserve">Regime statutario trasparente </w:t>
      </w:r>
    </w:p>
    <w:p w:rsidR="00473F03" w:rsidRPr="00FF3CB3" w:rsidRDefault="00691BCC" w:rsidP="00E00E93">
      <w:pPr>
        <w:ind w:left="284"/>
        <w:jc w:val="both"/>
        <w:rPr>
          <w:sz w:val="24"/>
          <w:szCs w:val="24"/>
          <w:lang w:val="it-IT"/>
        </w:rPr>
      </w:pPr>
      <w:r w:rsidRPr="0050786A">
        <w:rPr>
          <w:sz w:val="24"/>
          <w:szCs w:val="24"/>
          <w:lang w:val="it-IT"/>
        </w:rPr>
        <w:t>Al fine di mettersi in comunicazione con le piccole e medie imprese nel modo piú semplice ed efficace possibile, è assolutamente necessario che la fusione di diversi tipi di finanziamenti europei sia resa possibile a livello del beneficiario in accordo con un regime di legge chiaro e trasparente. Le situazioni in cui uno Stato membro interpreta, per esempio, l'articolo 59 comma 8 in modo che i finanziamenti COSME per il settore agricolo non possono essere combinati con le risorse del Fondo Agricolo Europeo per lo Sviluppo Rurale (FAE</w:t>
      </w:r>
      <w:r w:rsidR="0050786A" w:rsidRPr="0050786A">
        <w:rPr>
          <w:sz w:val="24"/>
          <w:szCs w:val="24"/>
          <w:lang w:val="it-IT"/>
        </w:rPr>
        <w:t>SR)</w:t>
      </w:r>
      <w:r w:rsidR="00E00E93" w:rsidRPr="0050786A">
        <w:rPr>
          <w:sz w:val="24"/>
          <w:szCs w:val="24"/>
          <w:lang w:val="it-IT"/>
        </w:rPr>
        <w:t xml:space="preserve"> mentre</w:t>
      </w:r>
      <w:r w:rsidR="0050786A" w:rsidRPr="0050786A">
        <w:rPr>
          <w:sz w:val="24"/>
          <w:szCs w:val="24"/>
          <w:lang w:val="it-IT"/>
        </w:rPr>
        <w:t>,</w:t>
      </w:r>
      <w:r w:rsidR="00E00E93" w:rsidRPr="0050786A">
        <w:rPr>
          <w:sz w:val="24"/>
          <w:szCs w:val="24"/>
          <w:lang w:val="it-IT"/>
        </w:rPr>
        <w:t xml:space="preserve"> la Direzione G</w:t>
      </w:r>
      <w:r w:rsidRPr="0050786A">
        <w:rPr>
          <w:sz w:val="24"/>
          <w:szCs w:val="24"/>
          <w:lang w:val="it-IT"/>
        </w:rPr>
        <w:t>enera</w:t>
      </w:r>
      <w:r w:rsidR="00E00E93" w:rsidRPr="0050786A">
        <w:rPr>
          <w:sz w:val="24"/>
          <w:szCs w:val="24"/>
          <w:lang w:val="it-IT"/>
        </w:rPr>
        <w:t>le dell'Agricoltura e dello lo Sviluppo R</w:t>
      </w:r>
      <w:r w:rsidRPr="0050786A">
        <w:rPr>
          <w:sz w:val="24"/>
          <w:szCs w:val="24"/>
          <w:lang w:val="it-IT"/>
        </w:rPr>
        <w:t>urale afferma che questo è possibile a livello del beneficiario</w:t>
      </w:r>
      <w:r w:rsidR="00E00E93" w:rsidRPr="0050786A">
        <w:rPr>
          <w:sz w:val="24"/>
          <w:szCs w:val="24"/>
          <w:lang w:val="it-IT"/>
        </w:rPr>
        <w:t>,</w:t>
      </w:r>
      <w:r w:rsidRPr="0050786A">
        <w:rPr>
          <w:sz w:val="24"/>
          <w:szCs w:val="24"/>
          <w:lang w:val="it-IT"/>
        </w:rPr>
        <w:t xml:space="preserve"> dovrebbe</w:t>
      </w:r>
      <w:r w:rsidR="00E00E93" w:rsidRPr="0050786A">
        <w:rPr>
          <w:sz w:val="24"/>
          <w:szCs w:val="24"/>
          <w:lang w:val="it-IT"/>
        </w:rPr>
        <w:t>ro</w:t>
      </w:r>
      <w:r w:rsidRPr="0050786A">
        <w:rPr>
          <w:sz w:val="24"/>
          <w:szCs w:val="24"/>
          <w:lang w:val="it-IT"/>
        </w:rPr>
        <w:t xml:space="preserve"> essere evitat</w:t>
      </w:r>
      <w:r w:rsidR="00E00E93" w:rsidRPr="0050786A">
        <w:rPr>
          <w:sz w:val="24"/>
          <w:szCs w:val="24"/>
          <w:lang w:val="it-IT"/>
        </w:rPr>
        <w:t>e</w:t>
      </w:r>
      <w:r w:rsidRPr="0050786A">
        <w:rPr>
          <w:sz w:val="24"/>
          <w:szCs w:val="24"/>
          <w:lang w:val="it-IT"/>
        </w:rPr>
        <w:t>.</w:t>
      </w:r>
      <w:r w:rsidRPr="0050786A">
        <w:rPr>
          <w:sz w:val="24"/>
          <w:szCs w:val="24"/>
          <w:lang w:val="it-IT"/>
        </w:rPr>
        <w:br/>
      </w:r>
    </w:p>
    <w:p w:rsidR="0050786A" w:rsidRPr="0050786A" w:rsidRDefault="008D678C" w:rsidP="00FF3CB3">
      <w:pPr>
        <w:ind w:left="284" w:hanging="284"/>
        <w:jc w:val="both"/>
        <w:rPr>
          <w:b/>
          <w:sz w:val="24"/>
          <w:szCs w:val="24"/>
          <w:lang w:val="it-IT"/>
        </w:rPr>
      </w:pPr>
      <w:r w:rsidRPr="0050786A">
        <w:rPr>
          <w:b/>
          <w:sz w:val="24"/>
          <w:szCs w:val="24"/>
          <w:lang w:val="it-IT"/>
        </w:rPr>
        <w:t>•</w:t>
      </w:r>
      <w:r w:rsidRPr="0050786A">
        <w:rPr>
          <w:b/>
          <w:sz w:val="24"/>
          <w:szCs w:val="24"/>
          <w:lang w:val="it-IT"/>
        </w:rPr>
        <w:tab/>
        <w:t xml:space="preserve">Gli obblighi di informazione dovrebbero essere al livello </w:t>
      </w:r>
      <w:r w:rsidR="0050786A" w:rsidRPr="0050786A">
        <w:rPr>
          <w:b/>
          <w:sz w:val="24"/>
          <w:szCs w:val="24"/>
          <w:lang w:val="it-IT"/>
        </w:rPr>
        <w:t>minimo possibile</w:t>
      </w:r>
    </w:p>
    <w:p w:rsidR="008D678C" w:rsidRPr="0050786A" w:rsidRDefault="008D678C" w:rsidP="0050786A">
      <w:pPr>
        <w:ind w:left="284"/>
        <w:jc w:val="both"/>
        <w:rPr>
          <w:color w:val="538135" w:themeColor="accent6" w:themeShade="BF"/>
          <w:sz w:val="24"/>
          <w:szCs w:val="24"/>
          <w:lang w:val="it-IT"/>
        </w:rPr>
      </w:pPr>
      <w:r w:rsidRPr="0050786A">
        <w:rPr>
          <w:sz w:val="24"/>
          <w:szCs w:val="24"/>
          <w:lang w:val="it-IT"/>
        </w:rPr>
        <w:t xml:space="preserve">Gli obblighi di comunicazione stabiliti nella base giuridica dovrebbero essere il più </w:t>
      </w:r>
      <w:r w:rsidR="00C15154" w:rsidRPr="0050786A">
        <w:rPr>
          <w:sz w:val="24"/>
          <w:szCs w:val="24"/>
          <w:lang w:val="it-IT"/>
        </w:rPr>
        <w:t>semplici</w:t>
      </w:r>
      <w:r w:rsidRPr="0050786A">
        <w:rPr>
          <w:sz w:val="24"/>
          <w:szCs w:val="24"/>
          <w:lang w:val="it-IT"/>
        </w:rPr>
        <w:t xml:space="preserve"> possibil</w:t>
      </w:r>
      <w:r w:rsidR="0050786A" w:rsidRPr="0050786A">
        <w:rPr>
          <w:sz w:val="24"/>
          <w:szCs w:val="24"/>
          <w:lang w:val="it-IT"/>
        </w:rPr>
        <w:t>e</w:t>
      </w:r>
      <w:r w:rsidRPr="0050786A">
        <w:rPr>
          <w:sz w:val="24"/>
          <w:szCs w:val="24"/>
          <w:lang w:val="it-IT"/>
        </w:rPr>
        <w:t xml:space="preserve"> al fine di preservare il principio fondamentale di proporzionalità.</w:t>
      </w:r>
      <w:r w:rsidRPr="0050786A">
        <w:rPr>
          <w:sz w:val="24"/>
          <w:szCs w:val="24"/>
          <w:lang w:val="it-IT"/>
        </w:rPr>
        <w:br/>
      </w:r>
    </w:p>
    <w:p w:rsidR="00764393" w:rsidRPr="0050786A" w:rsidRDefault="00C15154" w:rsidP="00FF3CB3">
      <w:pPr>
        <w:pStyle w:val="ListParagraph"/>
        <w:numPr>
          <w:ilvl w:val="0"/>
          <w:numId w:val="2"/>
        </w:numPr>
        <w:ind w:left="283" w:hanging="357"/>
        <w:jc w:val="both"/>
        <w:rPr>
          <w:b/>
          <w:sz w:val="24"/>
          <w:szCs w:val="24"/>
          <w:lang w:val="it-IT"/>
        </w:rPr>
      </w:pPr>
      <w:r w:rsidRPr="0050786A">
        <w:rPr>
          <w:b/>
          <w:sz w:val="24"/>
          <w:szCs w:val="24"/>
          <w:lang w:val="it-IT"/>
        </w:rPr>
        <w:t>Maggiori</w:t>
      </w:r>
      <w:r w:rsidR="008D678C" w:rsidRPr="0050786A">
        <w:rPr>
          <w:b/>
          <w:sz w:val="24"/>
          <w:szCs w:val="24"/>
          <w:lang w:val="it-IT"/>
        </w:rPr>
        <w:t xml:space="preserve"> complementarietá e sinergi</w:t>
      </w:r>
      <w:r w:rsidRPr="0050786A">
        <w:rPr>
          <w:b/>
          <w:sz w:val="24"/>
          <w:szCs w:val="24"/>
          <w:lang w:val="it-IT"/>
        </w:rPr>
        <w:t>e</w:t>
      </w:r>
      <w:r w:rsidR="00A533B2" w:rsidRPr="0050786A">
        <w:rPr>
          <w:b/>
          <w:sz w:val="24"/>
          <w:szCs w:val="24"/>
          <w:lang w:val="it-IT"/>
        </w:rPr>
        <w:t xml:space="preserve"> tra gli strumenti esistenti e</w:t>
      </w:r>
      <w:r w:rsidR="008D678C" w:rsidRPr="0050786A">
        <w:rPr>
          <w:b/>
          <w:sz w:val="24"/>
          <w:szCs w:val="24"/>
          <w:lang w:val="it-IT"/>
        </w:rPr>
        <w:t xml:space="preserve"> </w:t>
      </w:r>
      <w:r w:rsidR="00764393" w:rsidRPr="0050786A">
        <w:rPr>
          <w:b/>
          <w:sz w:val="24"/>
          <w:szCs w:val="24"/>
          <w:lang w:val="it-IT"/>
        </w:rPr>
        <w:t>chi prende parte al processo</w:t>
      </w:r>
      <w:r w:rsidR="008D678C" w:rsidRPr="0050786A">
        <w:rPr>
          <w:b/>
          <w:sz w:val="24"/>
          <w:szCs w:val="24"/>
          <w:lang w:val="it-IT"/>
        </w:rPr>
        <w:br/>
      </w:r>
    </w:p>
    <w:p w:rsidR="00FF3CB3" w:rsidRDefault="008D678C" w:rsidP="00764393">
      <w:pPr>
        <w:pStyle w:val="ListParagraph"/>
        <w:ind w:left="284"/>
        <w:jc w:val="both"/>
        <w:rPr>
          <w:sz w:val="24"/>
          <w:szCs w:val="24"/>
          <w:lang w:val="it-IT"/>
        </w:rPr>
      </w:pPr>
      <w:r w:rsidRPr="0050786A">
        <w:rPr>
          <w:sz w:val="24"/>
          <w:szCs w:val="24"/>
          <w:lang w:val="it-IT"/>
        </w:rPr>
        <w:t xml:space="preserve">Le sinergie </w:t>
      </w:r>
      <w:r w:rsidR="00C15154" w:rsidRPr="0050786A">
        <w:rPr>
          <w:sz w:val="24"/>
          <w:szCs w:val="24"/>
          <w:lang w:val="it-IT"/>
        </w:rPr>
        <w:t>dovrebbero</w:t>
      </w:r>
      <w:r w:rsidRPr="0050786A">
        <w:rPr>
          <w:sz w:val="24"/>
          <w:szCs w:val="24"/>
          <w:lang w:val="it-IT"/>
        </w:rPr>
        <w:t xml:space="preserve"> essere perseguite a tutti i livelli, regionale, nazionale e sovranazionale, al fine di allineare gli incentivi e creare situazioni "win-win" per tutti coloro che </w:t>
      </w:r>
      <w:r w:rsidR="00C15154" w:rsidRPr="0050786A">
        <w:rPr>
          <w:sz w:val="24"/>
          <w:szCs w:val="24"/>
          <w:lang w:val="it-IT"/>
        </w:rPr>
        <w:t xml:space="preserve">rivestono un ruolo </w:t>
      </w:r>
      <w:r w:rsidRPr="0050786A">
        <w:rPr>
          <w:sz w:val="24"/>
          <w:szCs w:val="24"/>
          <w:lang w:val="it-IT"/>
        </w:rPr>
        <w:t>lungo la catena del valore di garanzia, comprese le autorità pubbliche, gli organismi di garanzia, le banche e le PMI.</w:t>
      </w:r>
    </w:p>
    <w:p w:rsidR="00895AAB" w:rsidRDefault="008D678C" w:rsidP="00764393">
      <w:pPr>
        <w:pStyle w:val="ListParagraph"/>
        <w:ind w:left="284"/>
        <w:jc w:val="both"/>
        <w:rPr>
          <w:b/>
          <w:sz w:val="24"/>
          <w:szCs w:val="24"/>
          <w:lang w:val="it-IT"/>
        </w:rPr>
      </w:pPr>
      <w:r w:rsidRPr="0050786A">
        <w:rPr>
          <w:sz w:val="24"/>
          <w:szCs w:val="24"/>
          <w:lang w:val="it-IT"/>
        </w:rPr>
        <w:br/>
      </w:r>
    </w:p>
    <w:p w:rsidR="00CF6DE1" w:rsidRDefault="00CF6DE1" w:rsidP="00764393">
      <w:pPr>
        <w:pStyle w:val="ListParagraph"/>
        <w:ind w:left="284"/>
        <w:jc w:val="both"/>
        <w:rPr>
          <w:b/>
          <w:sz w:val="24"/>
          <w:szCs w:val="24"/>
          <w:lang w:val="it-IT"/>
        </w:rPr>
      </w:pPr>
    </w:p>
    <w:p w:rsidR="00CF6DE1" w:rsidRPr="0050786A" w:rsidRDefault="00CF6DE1" w:rsidP="00764393">
      <w:pPr>
        <w:pStyle w:val="ListParagraph"/>
        <w:ind w:left="284"/>
        <w:jc w:val="both"/>
        <w:rPr>
          <w:b/>
          <w:sz w:val="24"/>
          <w:szCs w:val="24"/>
          <w:lang w:val="it-IT"/>
        </w:rPr>
      </w:pPr>
      <w:bookmarkStart w:id="0" w:name="_GoBack"/>
      <w:bookmarkEnd w:id="0"/>
    </w:p>
    <w:p w:rsidR="000D10AA" w:rsidRPr="0050786A" w:rsidRDefault="00C15154" w:rsidP="000D10AA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50786A">
        <w:rPr>
          <w:b/>
          <w:sz w:val="24"/>
          <w:szCs w:val="24"/>
        </w:rPr>
        <w:t xml:space="preserve">Database </w:t>
      </w:r>
      <w:proofErr w:type="spellStart"/>
      <w:r w:rsidRPr="0050786A">
        <w:rPr>
          <w:b/>
          <w:sz w:val="24"/>
          <w:szCs w:val="24"/>
        </w:rPr>
        <w:t>migliorato</w:t>
      </w:r>
      <w:proofErr w:type="spellEnd"/>
    </w:p>
    <w:p w:rsidR="00C15154" w:rsidRPr="0050786A" w:rsidRDefault="00C15154" w:rsidP="00895AAB">
      <w:pPr>
        <w:ind w:left="284"/>
        <w:jc w:val="both"/>
        <w:rPr>
          <w:sz w:val="24"/>
          <w:szCs w:val="24"/>
          <w:lang w:val="it-IT"/>
        </w:rPr>
      </w:pPr>
      <w:r w:rsidRPr="0050786A">
        <w:rPr>
          <w:sz w:val="24"/>
          <w:szCs w:val="24"/>
          <w:lang w:val="it-IT"/>
        </w:rPr>
        <w:t>Al fine di avere tutti</w:t>
      </w:r>
      <w:r w:rsidR="00691BCC" w:rsidRPr="0050786A">
        <w:rPr>
          <w:sz w:val="24"/>
          <w:szCs w:val="24"/>
          <w:lang w:val="it-IT"/>
        </w:rPr>
        <w:t>,</w:t>
      </w:r>
      <w:r w:rsidRPr="0050786A">
        <w:rPr>
          <w:sz w:val="24"/>
          <w:szCs w:val="24"/>
          <w:lang w:val="it-IT"/>
        </w:rPr>
        <w:t xml:space="preserve"> i dati rilevanti per </w:t>
      </w:r>
      <w:r w:rsidR="00691BCC" w:rsidRPr="0050786A">
        <w:rPr>
          <w:sz w:val="24"/>
          <w:szCs w:val="24"/>
          <w:lang w:val="it-IT"/>
        </w:rPr>
        <w:t xml:space="preserve">il monitoraggio e </w:t>
      </w:r>
      <w:r w:rsidRPr="0050786A">
        <w:rPr>
          <w:sz w:val="24"/>
          <w:szCs w:val="24"/>
          <w:lang w:val="it-IT"/>
        </w:rPr>
        <w:t>la valutazione d</w:t>
      </w:r>
      <w:r w:rsidR="00691BCC" w:rsidRPr="0050786A">
        <w:rPr>
          <w:sz w:val="24"/>
          <w:szCs w:val="24"/>
          <w:lang w:val="it-IT"/>
        </w:rPr>
        <w:t xml:space="preserve">egli studi sull´impatto economico </w:t>
      </w:r>
      <w:r w:rsidRPr="0050786A">
        <w:rPr>
          <w:sz w:val="24"/>
          <w:szCs w:val="24"/>
          <w:lang w:val="it-IT"/>
        </w:rPr>
        <w:t xml:space="preserve">(misurato con </w:t>
      </w:r>
      <w:r w:rsidR="00691BCC" w:rsidRPr="0050786A">
        <w:rPr>
          <w:sz w:val="24"/>
          <w:szCs w:val="24"/>
          <w:lang w:val="it-IT"/>
        </w:rPr>
        <w:t>cifre</w:t>
      </w:r>
      <w:r w:rsidRPr="0050786A">
        <w:rPr>
          <w:sz w:val="24"/>
          <w:szCs w:val="24"/>
          <w:lang w:val="it-IT"/>
        </w:rPr>
        <w:t xml:space="preserve"> relativ</w:t>
      </w:r>
      <w:r w:rsidR="00691BCC" w:rsidRPr="0050786A">
        <w:rPr>
          <w:sz w:val="24"/>
          <w:szCs w:val="24"/>
          <w:lang w:val="it-IT"/>
        </w:rPr>
        <w:t>e all´</w:t>
      </w:r>
      <w:r w:rsidRPr="0050786A">
        <w:rPr>
          <w:sz w:val="24"/>
          <w:szCs w:val="24"/>
          <w:lang w:val="it-IT"/>
        </w:rPr>
        <w:t xml:space="preserve">innovazione, l'occupazione e la crescita) </w:t>
      </w:r>
      <w:r w:rsidR="00691BCC" w:rsidRPr="0050786A">
        <w:rPr>
          <w:sz w:val="24"/>
          <w:szCs w:val="24"/>
          <w:lang w:val="it-IT"/>
        </w:rPr>
        <w:t xml:space="preserve">sono necessari dati affidabili e </w:t>
      </w:r>
      <w:r w:rsidRPr="0050786A">
        <w:rPr>
          <w:sz w:val="24"/>
          <w:szCs w:val="24"/>
          <w:lang w:val="it-IT"/>
        </w:rPr>
        <w:t>comparabili. AECM e le sue organizzazioni membr</w:t>
      </w:r>
      <w:r w:rsidR="00691BCC" w:rsidRPr="0050786A">
        <w:rPr>
          <w:sz w:val="24"/>
          <w:szCs w:val="24"/>
          <w:lang w:val="it-IT"/>
        </w:rPr>
        <w:t>o</w:t>
      </w:r>
      <w:r w:rsidRPr="0050786A">
        <w:rPr>
          <w:sz w:val="24"/>
          <w:szCs w:val="24"/>
          <w:lang w:val="it-IT"/>
        </w:rPr>
        <w:t xml:space="preserve"> sono pront</w:t>
      </w:r>
      <w:r w:rsidR="00691BCC" w:rsidRPr="0050786A">
        <w:rPr>
          <w:sz w:val="24"/>
          <w:szCs w:val="24"/>
          <w:lang w:val="it-IT"/>
        </w:rPr>
        <w:t>e</w:t>
      </w:r>
      <w:r w:rsidRPr="0050786A">
        <w:rPr>
          <w:sz w:val="24"/>
          <w:szCs w:val="24"/>
          <w:lang w:val="it-IT"/>
        </w:rPr>
        <w:t xml:space="preserve"> ad aiutare</w:t>
      </w:r>
      <w:r w:rsidR="00691BCC" w:rsidRPr="0050786A">
        <w:rPr>
          <w:sz w:val="24"/>
          <w:szCs w:val="24"/>
          <w:lang w:val="it-IT"/>
        </w:rPr>
        <w:t xml:space="preserve"> a migliorare la raccolta dati </w:t>
      </w:r>
      <w:r w:rsidRPr="0050786A">
        <w:rPr>
          <w:sz w:val="24"/>
          <w:szCs w:val="24"/>
          <w:lang w:val="it-IT"/>
        </w:rPr>
        <w:t>attraverso le loro reti.</w:t>
      </w:r>
    </w:p>
    <w:p w:rsidR="000D10AA" w:rsidRPr="00A533B2" w:rsidRDefault="000D10AA" w:rsidP="0089113D">
      <w:pPr>
        <w:ind w:left="284" w:hanging="284"/>
        <w:jc w:val="both"/>
        <w:rPr>
          <w:color w:val="538135" w:themeColor="accent6" w:themeShade="BF"/>
          <w:sz w:val="24"/>
          <w:szCs w:val="24"/>
          <w:lang w:val="it-IT"/>
        </w:rPr>
      </w:pPr>
    </w:p>
    <w:p w:rsidR="008D678C" w:rsidRDefault="008D678C" w:rsidP="008D678C">
      <w:pPr>
        <w:jc w:val="both"/>
        <w:rPr>
          <w:sz w:val="24"/>
          <w:szCs w:val="24"/>
          <w:lang w:val="it-IT"/>
        </w:rPr>
      </w:pPr>
      <w:r w:rsidRPr="0050786A">
        <w:rPr>
          <w:sz w:val="24"/>
          <w:szCs w:val="24"/>
          <w:lang w:val="it-IT"/>
        </w:rPr>
        <w:t>Vi chiediamo gentilmente di prendere in considerazione le nostre riflessioni cosí espresse in questo documento di posizione quando realizzerete la relazione intermedia a proposito degli strumenti finanziari europei.</w:t>
      </w:r>
    </w:p>
    <w:p w:rsidR="0050786A" w:rsidRPr="0050786A" w:rsidRDefault="0050786A" w:rsidP="008D678C">
      <w:pPr>
        <w:jc w:val="both"/>
        <w:rPr>
          <w:sz w:val="24"/>
          <w:szCs w:val="24"/>
          <w:lang w:val="it-IT"/>
        </w:rPr>
      </w:pPr>
    </w:p>
    <w:p w:rsidR="004E1E8D" w:rsidRPr="00FF3CB3" w:rsidRDefault="008D678C" w:rsidP="0089113D">
      <w:pPr>
        <w:ind w:left="284" w:hanging="284"/>
        <w:jc w:val="both"/>
        <w:rPr>
          <w:sz w:val="24"/>
          <w:szCs w:val="24"/>
          <w:lang w:val="it-IT"/>
        </w:rPr>
      </w:pPr>
      <w:r w:rsidRPr="00FF3CB3">
        <w:rPr>
          <w:sz w:val="24"/>
          <w:szCs w:val="24"/>
          <w:lang w:val="it-IT"/>
        </w:rPr>
        <w:t>Bruxelles</w:t>
      </w:r>
      <w:r w:rsidR="004E1E8D" w:rsidRPr="00FF3CB3">
        <w:rPr>
          <w:sz w:val="24"/>
          <w:szCs w:val="24"/>
          <w:lang w:val="it-IT"/>
        </w:rPr>
        <w:t xml:space="preserve">, 26 </w:t>
      </w:r>
      <w:r w:rsidR="00FF3CB3" w:rsidRPr="00FF3CB3">
        <w:rPr>
          <w:sz w:val="24"/>
          <w:szCs w:val="24"/>
          <w:lang w:val="it-IT"/>
        </w:rPr>
        <w:t>gennaio</w:t>
      </w:r>
      <w:r w:rsidR="004E1E8D" w:rsidRPr="00FF3CB3">
        <w:rPr>
          <w:sz w:val="24"/>
          <w:szCs w:val="24"/>
          <w:lang w:val="it-IT"/>
        </w:rPr>
        <w:t xml:space="preserve"> 2017</w:t>
      </w:r>
    </w:p>
    <w:p w:rsidR="004E1E8D" w:rsidRPr="00FF3CB3" w:rsidRDefault="004E1E8D" w:rsidP="00CB406A">
      <w:pPr>
        <w:jc w:val="both"/>
        <w:rPr>
          <w:color w:val="538135" w:themeColor="accent6" w:themeShade="BF"/>
          <w:sz w:val="24"/>
          <w:szCs w:val="24"/>
          <w:lang w:val="it-IT"/>
        </w:rPr>
      </w:pPr>
    </w:p>
    <w:p w:rsidR="00895AAB" w:rsidRPr="00FF3CB3" w:rsidRDefault="00895AAB" w:rsidP="00CB406A">
      <w:pPr>
        <w:jc w:val="both"/>
        <w:rPr>
          <w:color w:val="538135" w:themeColor="accent6" w:themeShade="BF"/>
          <w:sz w:val="24"/>
          <w:szCs w:val="24"/>
          <w:lang w:val="it-IT"/>
        </w:rPr>
      </w:pPr>
    </w:p>
    <w:p w:rsidR="00895AAB" w:rsidRPr="00FF3CB3" w:rsidRDefault="00895AAB" w:rsidP="00CB406A">
      <w:pPr>
        <w:jc w:val="both"/>
        <w:rPr>
          <w:color w:val="538135" w:themeColor="accent6" w:themeShade="BF"/>
          <w:sz w:val="24"/>
          <w:szCs w:val="24"/>
          <w:lang w:val="it-IT"/>
        </w:rPr>
      </w:pPr>
    </w:p>
    <w:p w:rsidR="004E1E8D" w:rsidRPr="00FF3CB3" w:rsidRDefault="004E1E8D" w:rsidP="004E1E8D">
      <w:pPr>
        <w:ind w:left="284" w:hanging="284"/>
        <w:rPr>
          <w:sz w:val="24"/>
          <w:szCs w:val="24"/>
          <w:lang w:val="it-IT"/>
        </w:rPr>
      </w:pPr>
      <w:r w:rsidRPr="00FF3CB3">
        <w:rPr>
          <w:sz w:val="24"/>
          <w:szCs w:val="24"/>
          <w:lang w:val="it-IT"/>
        </w:rPr>
        <w:t>_______________________</w:t>
      </w:r>
      <w:r w:rsidRPr="00FF3CB3">
        <w:rPr>
          <w:sz w:val="24"/>
          <w:szCs w:val="24"/>
          <w:lang w:val="it-IT"/>
        </w:rPr>
        <w:tab/>
      </w:r>
      <w:r w:rsidRPr="00FF3CB3">
        <w:rPr>
          <w:sz w:val="24"/>
          <w:szCs w:val="24"/>
          <w:lang w:val="it-IT"/>
        </w:rPr>
        <w:tab/>
      </w:r>
      <w:r w:rsidRPr="00FF3CB3">
        <w:rPr>
          <w:sz w:val="24"/>
          <w:szCs w:val="24"/>
          <w:lang w:val="it-IT"/>
        </w:rPr>
        <w:tab/>
      </w:r>
      <w:r w:rsidRPr="00FF3CB3">
        <w:rPr>
          <w:sz w:val="24"/>
          <w:szCs w:val="24"/>
          <w:lang w:val="it-IT"/>
        </w:rPr>
        <w:tab/>
        <w:t>___________________________</w:t>
      </w:r>
    </w:p>
    <w:p w:rsidR="004E1E8D" w:rsidRPr="00FF3CB3" w:rsidRDefault="006F264F" w:rsidP="004E1E8D">
      <w:pPr>
        <w:ind w:left="284" w:hanging="284"/>
        <w:rPr>
          <w:sz w:val="24"/>
          <w:szCs w:val="24"/>
          <w:lang w:val="it-IT"/>
        </w:rPr>
      </w:pPr>
      <w:r w:rsidRPr="006F264F">
        <w:rPr>
          <w:sz w:val="24"/>
          <w:szCs w:val="24"/>
          <w:lang w:val="it-IT"/>
        </w:rPr>
        <w:t>Ulrike Rabmer-Koller</w:t>
      </w:r>
      <w:r w:rsidR="004E1E8D" w:rsidRPr="00FF3CB3">
        <w:rPr>
          <w:sz w:val="24"/>
          <w:szCs w:val="24"/>
          <w:lang w:val="it-IT"/>
        </w:rPr>
        <w:tab/>
      </w:r>
      <w:r w:rsidR="004E1E8D" w:rsidRPr="00FF3CB3">
        <w:rPr>
          <w:sz w:val="24"/>
          <w:szCs w:val="24"/>
          <w:lang w:val="it-IT"/>
        </w:rPr>
        <w:tab/>
      </w:r>
      <w:r w:rsidR="004E1E8D" w:rsidRPr="00FF3CB3">
        <w:rPr>
          <w:sz w:val="24"/>
          <w:szCs w:val="24"/>
          <w:lang w:val="it-IT"/>
        </w:rPr>
        <w:tab/>
      </w:r>
      <w:r w:rsidR="004E1E8D" w:rsidRPr="00FF3CB3">
        <w:rPr>
          <w:sz w:val="24"/>
          <w:szCs w:val="24"/>
          <w:lang w:val="it-IT"/>
        </w:rPr>
        <w:tab/>
      </w:r>
      <w:r w:rsidR="00B001F8" w:rsidRPr="00FF3CB3">
        <w:rPr>
          <w:sz w:val="24"/>
          <w:szCs w:val="24"/>
          <w:lang w:val="it-IT"/>
        </w:rPr>
        <w:tab/>
        <w:t>Bernhard Sagmeister</w:t>
      </w:r>
    </w:p>
    <w:p w:rsidR="004E1E8D" w:rsidRPr="0050786A" w:rsidRDefault="006F264F" w:rsidP="004E1E8D">
      <w:pPr>
        <w:ind w:left="284" w:hanging="284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Presidente</w:t>
      </w:r>
      <w:r w:rsidR="008D678C" w:rsidRPr="0050786A">
        <w:rPr>
          <w:sz w:val="24"/>
          <w:szCs w:val="24"/>
          <w:lang w:val="it-IT"/>
        </w:rPr>
        <w:t xml:space="preserve"> di UEAPME</w:t>
      </w:r>
      <w:r w:rsidR="004E1E8D" w:rsidRPr="0050786A"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 w:rsidR="004E1E8D" w:rsidRPr="0050786A">
        <w:rPr>
          <w:sz w:val="24"/>
          <w:szCs w:val="24"/>
          <w:lang w:val="it-IT"/>
        </w:rPr>
        <w:tab/>
      </w:r>
      <w:r w:rsidR="004E1E8D" w:rsidRPr="0050786A">
        <w:rPr>
          <w:sz w:val="24"/>
          <w:szCs w:val="24"/>
          <w:lang w:val="it-IT"/>
        </w:rPr>
        <w:tab/>
      </w:r>
      <w:r w:rsidR="008D678C" w:rsidRPr="0050786A">
        <w:rPr>
          <w:sz w:val="24"/>
          <w:szCs w:val="24"/>
          <w:lang w:val="it-IT"/>
        </w:rPr>
        <w:t>Presidente di AECM</w:t>
      </w:r>
    </w:p>
    <w:sectPr w:rsidR="004E1E8D" w:rsidRPr="0050786A" w:rsidSect="00FF3CB3">
      <w:headerReference w:type="default" r:id="rId8"/>
      <w:footerReference w:type="default" r:id="rId9"/>
      <w:pgSz w:w="11906" w:h="16838"/>
      <w:pgMar w:top="1722" w:right="1440" w:bottom="851" w:left="1440" w:header="28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CC3" w:rsidRDefault="00AD7CC3" w:rsidP="009A39DA">
      <w:pPr>
        <w:spacing w:after="0" w:line="240" w:lineRule="auto"/>
      </w:pPr>
      <w:r>
        <w:separator/>
      </w:r>
    </w:p>
  </w:endnote>
  <w:endnote w:type="continuationSeparator" w:id="0">
    <w:p w:rsidR="00AD7CC3" w:rsidRDefault="00AD7CC3" w:rsidP="009A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4086730"/>
      <w:docPartObj>
        <w:docPartGallery w:val="Page Numbers (Bottom of Page)"/>
        <w:docPartUnique/>
      </w:docPartObj>
    </w:sdtPr>
    <w:sdtEndPr/>
    <w:sdtContent>
      <w:p w:rsidR="00F61A9E" w:rsidRDefault="000A22F8">
        <w:pPr>
          <w:pStyle w:val="Footer"/>
          <w:jc w:val="right"/>
        </w:pPr>
        <w:r>
          <w:fldChar w:fldCharType="begin"/>
        </w:r>
        <w:r w:rsidR="00BB5246">
          <w:instrText>PAGE   \* MERGEFORMAT</w:instrText>
        </w:r>
        <w:r>
          <w:fldChar w:fldCharType="separate"/>
        </w:r>
        <w:r w:rsidR="00CF6DE1" w:rsidRPr="00CF6DE1">
          <w:rPr>
            <w:noProof/>
            <w:lang w:val="de-DE"/>
          </w:rPr>
          <w:t>2</w:t>
        </w:r>
        <w:r>
          <w:rPr>
            <w:noProof/>
            <w:lang w:val="de-DE"/>
          </w:rPr>
          <w:fldChar w:fldCharType="end"/>
        </w:r>
      </w:p>
    </w:sdtContent>
  </w:sdt>
  <w:p w:rsidR="00F61A9E" w:rsidRDefault="00F61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CC3" w:rsidRDefault="00AD7CC3" w:rsidP="009A39DA">
      <w:pPr>
        <w:spacing w:after="0" w:line="240" w:lineRule="auto"/>
      </w:pPr>
      <w:r>
        <w:separator/>
      </w:r>
    </w:p>
  </w:footnote>
  <w:footnote w:type="continuationSeparator" w:id="0">
    <w:p w:rsidR="00AD7CC3" w:rsidRDefault="00AD7CC3" w:rsidP="009A3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A9E" w:rsidRDefault="00F61A9E" w:rsidP="00B82F96">
    <w:pPr>
      <w:pStyle w:val="Header"/>
    </w:pPr>
    <w:r w:rsidRPr="005669A4">
      <w:rPr>
        <w:noProof/>
        <w:lang w:eastAsia="en-GB"/>
      </w:rPr>
      <w:drawing>
        <wp:inline distT="0" distB="0" distL="0" distR="0">
          <wp:extent cx="1304925" cy="866775"/>
          <wp:effectExtent l="19050" t="0" r="9525" b="0"/>
          <wp:docPr id="7" name="Picture 7" descr="LOgotipo piccolo only na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piccolo only nam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1392621" cy="741526"/>
          <wp:effectExtent l="0" t="0" r="0" b="1905"/>
          <wp:docPr id="8" name="Grafik 26" descr="C:\Users\Katrin\AppData\Local\Microsoft\Windows\INetCacheContent.Word\UEAPME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rin\AppData\Local\Microsoft\Windows\INetCacheContent.Word\UEAPME (00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483" cy="760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3042"/>
    <w:multiLevelType w:val="hybridMultilevel"/>
    <w:tmpl w:val="445C1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96DD1"/>
    <w:multiLevelType w:val="hybridMultilevel"/>
    <w:tmpl w:val="D56C3D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9F3B8A"/>
    <w:multiLevelType w:val="hybridMultilevel"/>
    <w:tmpl w:val="6C988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E85"/>
    <w:rsid w:val="0005625D"/>
    <w:rsid w:val="00086D40"/>
    <w:rsid w:val="00090126"/>
    <w:rsid w:val="000A0ECD"/>
    <w:rsid w:val="000A22F8"/>
    <w:rsid w:val="000A5ED3"/>
    <w:rsid w:val="000D0BD4"/>
    <w:rsid w:val="000D10AA"/>
    <w:rsid w:val="000E2AC4"/>
    <w:rsid w:val="00115470"/>
    <w:rsid w:val="00124884"/>
    <w:rsid w:val="00133F41"/>
    <w:rsid w:val="00154588"/>
    <w:rsid w:val="001573C0"/>
    <w:rsid w:val="001707B3"/>
    <w:rsid w:val="001760AB"/>
    <w:rsid w:val="00180314"/>
    <w:rsid w:val="00185067"/>
    <w:rsid w:val="00196584"/>
    <w:rsid w:val="001D2E08"/>
    <w:rsid w:val="001F16D1"/>
    <w:rsid w:val="00211C69"/>
    <w:rsid w:val="002162E2"/>
    <w:rsid w:val="00223255"/>
    <w:rsid w:val="002267F9"/>
    <w:rsid w:val="002346BB"/>
    <w:rsid w:val="0024121A"/>
    <w:rsid w:val="00242727"/>
    <w:rsid w:val="002709DA"/>
    <w:rsid w:val="00280008"/>
    <w:rsid w:val="002824D6"/>
    <w:rsid w:val="00286904"/>
    <w:rsid w:val="0029453D"/>
    <w:rsid w:val="002A78A1"/>
    <w:rsid w:val="002F570B"/>
    <w:rsid w:val="00301DE7"/>
    <w:rsid w:val="00307735"/>
    <w:rsid w:val="00311C2E"/>
    <w:rsid w:val="003151B1"/>
    <w:rsid w:val="003514A1"/>
    <w:rsid w:val="00353981"/>
    <w:rsid w:val="003553E9"/>
    <w:rsid w:val="003666DB"/>
    <w:rsid w:val="00413DED"/>
    <w:rsid w:val="004264DB"/>
    <w:rsid w:val="00437CE6"/>
    <w:rsid w:val="00447EEF"/>
    <w:rsid w:val="004577FF"/>
    <w:rsid w:val="00473F03"/>
    <w:rsid w:val="004817A6"/>
    <w:rsid w:val="004B4250"/>
    <w:rsid w:val="004D24DB"/>
    <w:rsid w:val="004E1E8D"/>
    <w:rsid w:val="0050786A"/>
    <w:rsid w:val="00534756"/>
    <w:rsid w:val="005617A5"/>
    <w:rsid w:val="00575716"/>
    <w:rsid w:val="0059475E"/>
    <w:rsid w:val="005D2FC5"/>
    <w:rsid w:val="00604CA3"/>
    <w:rsid w:val="00626F11"/>
    <w:rsid w:val="006362E4"/>
    <w:rsid w:val="006518E5"/>
    <w:rsid w:val="00652467"/>
    <w:rsid w:val="00663C82"/>
    <w:rsid w:val="00670A56"/>
    <w:rsid w:val="006862B1"/>
    <w:rsid w:val="00691BCC"/>
    <w:rsid w:val="006B1897"/>
    <w:rsid w:val="006F091A"/>
    <w:rsid w:val="006F264F"/>
    <w:rsid w:val="00705E0B"/>
    <w:rsid w:val="00710F51"/>
    <w:rsid w:val="0071185B"/>
    <w:rsid w:val="00711AA3"/>
    <w:rsid w:val="00714102"/>
    <w:rsid w:val="007228D0"/>
    <w:rsid w:val="007357CE"/>
    <w:rsid w:val="0074323D"/>
    <w:rsid w:val="007460E5"/>
    <w:rsid w:val="00764393"/>
    <w:rsid w:val="007921DE"/>
    <w:rsid w:val="007A3574"/>
    <w:rsid w:val="007C5BC4"/>
    <w:rsid w:val="007D3A38"/>
    <w:rsid w:val="00800D94"/>
    <w:rsid w:val="00807AE4"/>
    <w:rsid w:val="008234D9"/>
    <w:rsid w:val="00840E79"/>
    <w:rsid w:val="00887FE4"/>
    <w:rsid w:val="00890DA5"/>
    <w:rsid w:val="0089113D"/>
    <w:rsid w:val="00895AAB"/>
    <w:rsid w:val="008A76BA"/>
    <w:rsid w:val="008B72BD"/>
    <w:rsid w:val="008C3B9B"/>
    <w:rsid w:val="008D120A"/>
    <w:rsid w:val="008D678C"/>
    <w:rsid w:val="008E7F1B"/>
    <w:rsid w:val="00900325"/>
    <w:rsid w:val="009075CB"/>
    <w:rsid w:val="00916C6D"/>
    <w:rsid w:val="009332A8"/>
    <w:rsid w:val="00980A78"/>
    <w:rsid w:val="009A39DA"/>
    <w:rsid w:val="009B7CEA"/>
    <w:rsid w:val="009F3E85"/>
    <w:rsid w:val="00A05468"/>
    <w:rsid w:val="00A11F8B"/>
    <w:rsid w:val="00A213E6"/>
    <w:rsid w:val="00A26095"/>
    <w:rsid w:val="00A533B2"/>
    <w:rsid w:val="00A9206D"/>
    <w:rsid w:val="00AB693A"/>
    <w:rsid w:val="00AD0768"/>
    <w:rsid w:val="00AD7CC3"/>
    <w:rsid w:val="00B001F8"/>
    <w:rsid w:val="00B10E67"/>
    <w:rsid w:val="00B1442E"/>
    <w:rsid w:val="00B45502"/>
    <w:rsid w:val="00B45575"/>
    <w:rsid w:val="00B50453"/>
    <w:rsid w:val="00B57381"/>
    <w:rsid w:val="00B6216C"/>
    <w:rsid w:val="00B7244E"/>
    <w:rsid w:val="00B82F96"/>
    <w:rsid w:val="00B935A5"/>
    <w:rsid w:val="00BA5D8D"/>
    <w:rsid w:val="00BA7832"/>
    <w:rsid w:val="00BB5246"/>
    <w:rsid w:val="00BE75FC"/>
    <w:rsid w:val="00BF400F"/>
    <w:rsid w:val="00BF6A29"/>
    <w:rsid w:val="00C07C6A"/>
    <w:rsid w:val="00C15154"/>
    <w:rsid w:val="00C32A2B"/>
    <w:rsid w:val="00C64E9D"/>
    <w:rsid w:val="00CB406A"/>
    <w:rsid w:val="00CB40C2"/>
    <w:rsid w:val="00CD7112"/>
    <w:rsid w:val="00CF6DE1"/>
    <w:rsid w:val="00D82058"/>
    <w:rsid w:val="00D86BD6"/>
    <w:rsid w:val="00DD09E7"/>
    <w:rsid w:val="00E00E93"/>
    <w:rsid w:val="00E22491"/>
    <w:rsid w:val="00E26718"/>
    <w:rsid w:val="00E432B7"/>
    <w:rsid w:val="00E43611"/>
    <w:rsid w:val="00E460DC"/>
    <w:rsid w:val="00E628DC"/>
    <w:rsid w:val="00E65794"/>
    <w:rsid w:val="00E7286F"/>
    <w:rsid w:val="00E73AAD"/>
    <w:rsid w:val="00E92A2A"/>
    <w:rsid w:val="00EB2286"/>
    <w:rsid w:val="00EF2E66"/>
    <w:rsid w:val="00F00822"/>
    <w:rsid w:val="00F0223B"/>
    <w:rsid w:val="00F06F7F"/>
    <w:rsid w:val="00F2579F"/>
    <w:rsid w:val="00F4023E"/>
    <w:rsid w:val="00F61A9E"/>
    <w:rsid w:val="00F6290A"/>
    <w:rsid w:val="00F876E9"/>
    <w:rsid w:val="00FA3315"/>
    <w:rsid w:val="00FB6E3E"/>
    <w:rsid w:val="00FD0FFE"/>
    <w:rsid w:val="00FE285A"/>
    <w:rsid w:val="00FE7434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21C6F623"/>
  <w15:docId w15:val="{F99CB9DC-EA4F-4378-85FA-7CB1E908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3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90DA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3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9DA"/>
  </w:style>
  <w:style w:type="paragraph" w:styleId="Footer">
    <w:name w:val="footer"/>
    <w:basedOn w:val="Normal"/>
    <w:link w:val="FooterChar"/>
    <w:uiPriority w:val="99"/>
    <w:unhideWhenUsed/>
    <w:rsid w:val="009A3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9DA"/>
  </w:style>
  <w:style w:type="paragraph" w:styleId="FootnoteText">
    <w:name w:val="footnote text"/>
    <w:basedOn w:val="Normal"/>
    <w:link w:val="FootnoteTextChar"/>
    <w:semiHidden/>
    <w:rsid w:val="00652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semiHidden/>
    <w:rsid w:val="0065246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Hyperlink">
    <w:name w:val="Hyperlink"/>
    <w:rsid w:val="006524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69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9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6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B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5978">
          <w:marLeft w:val="821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3814">
          <w:marLeft w:val="821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1108">
          <w:marLeft w:val="821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317">
          <w:marLeft w:val="821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7256">
          <w:marLeft w:val="821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694">
          <w:marLeft w:val="821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982">
          <w:marLeft w:val="821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209">
          <w:marLeft w:val="821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CDD7E-D58C-48CD-A1B9-A97A8CDE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1814</Words>
  <Characters>10342</Characters>
  <Application>Microsoft Office Word</Application>
  <DocSecurity>0</DocSecurity>
  <Lines>86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Marc Basel</cp:lastModifiedBy>
  <cp:revision>5</cp:revision>
  <cp:lastPrinted>2017-01-10T06:47:00Z</cp:lastPrinted>
  <dcterms:created xsi:type="dcterms:W3CDTF">2017-01-23T11:38:00Z</dcterms:created>
  <dcterms:modified xsi:type="dcterms:W3CDTF">2017-01-23T15:45:00Z</dcterms:modified>
</cp:coreProperties>
</file>