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891" w:rsidRDefault="008D4200" w:rsidP="00025F90">
      <w:pPr>
        <w:jc w:val="center"/>
        <w:rPr>
          <w:b/>
          <w:sz w:val="28"/>
          <w:szCs w:val="28"/>
        </w:rPr>
      </w:pPr>
      <w:r w:rsidRPr="008D4200">
        <w:rPr>
          <w:b/>
          <w:sz w:val="28"/>
          <w:szCs w:val="28"/>
        </w:rPr>
        <w:t>Overview</w:t>
      </w:r>
      <w:r w:rsidR="004B0343" w:rsidRPr="008D4200">
        <w:rPr>
          <w:b/>
          <w:sz w:val="28"/>
          <w:szCs w:val="28"/>
        </w:rPr>
        <w:t xml:space="preserve"> </w:t>
      </w:r>
      <w:r w:rsidRPr="008D4200">
        <w:rPr>
          <w:b/>
          <w:sz w:val="28"/>
          <w:szCs w:val="28"/>
        </w:rPr>
        <w:t>KETs &amp; risk assessment</w:t>
      </w:r>
    </w:p>
    <w:p w:rsidR="00F444EC" w:rsidRDefault="00F444EC" w:rsidP="00025F90">
      <w:pPr>
        <w:jc w:val="center"/>
        <w:rPr>
          <w:b/>
          <w:sz w:val="28"/>
          <w:szCs w:val="28"/>
        </w:rPr>
      </w:pPr>
      <w:r>
        <w:rPr>
          <w:b/>
          <w:sz w:val="28"/>
          <w:szCs w:val="28"/>
        </w:rPr>
        <w:t xml:space="preserve">- June 2016 </w:t>
      </w:r>
      <w:r w:rsidR="00025F90">
        <w:rPr>
          <w:b/>
          <w:sz w:val="28"/>
          <w:szCs w:val="28"/>
        </w:rPr>
        <w:t>–</w:t>
      </w:r>
    </w:p>
    <w:p w:rsidR="00025F90" w:rsidRPr="008D4200" w:rsidRDefault="00025F90" w:rsidP="00025F90">
      <w:pPr>
        <w:jc w:val="center"/>
        <w:rPr>
          <w:b/>
          <w:sz w:val="28"/>
          <w:szCs w:val="28"/>
        </w:rPr>
      </w:pPr>
    </w:p>
    <w:tbl>
      <w:tblPr>
        <w:tblStyle w:val="Tabellenraster"/>
        <w:tblW w:w="0" w:type="auto"/>
        <w:tblLook w:val="04A0" w:firstRow="1" w:lastRow="0" w:firstColumn="1" w:lastColumn="0" w:noHBand="0" w:noVBand="1"/>
      </w:tblPr>
      <w:tblGrid>
        <w:gridCol w:w="3527"/>
        <w:gridCol w:w="5823"/>
      </w:tblGrid>
      <w:tr w:rsidR="004B0343" w:rsidTr="00AE5CA8">
        <w:tc>
          <w:tcPr>
            <w:tcW w:w="3618" w:type="dxa"/>
          </w:tcPr>
          <w:p w:rsidR="004B0343" w:rsidRDefault="004B0343" w:rsidP="00025F90">
            <w:pPr>
              <w:jc w:val="both"/>
            </w:pPr>
          </w:p>
          <w:p w:rsidR="004B0343" w:rsidRDefault="004B0343" w:rsidP="00025F90">
            <w:pPr>
              <w:jc w:val="both"/>
            </w:pPr>
            <w:r>
              <w:t xml:space="preserve">Guarantee Fund </w:t>
            </w:r>
            <w:r w:rsidR="005C07F1">
              <w:t xml:space="preserve">of the Republic of </w:t>
            </w:r>
            <w:proofErr w:type="spellStart"/>
            <w:r w:rsidR="005C07F1">
              <w:t>Srpska</w:t>
            </w:r>
            <w:proofErr w:type="spellEnd"/>
          </w:p>
        </w:tc>
        <w:tc>
          <w:tcPr>
            <w:tcW w:w="5958" w:type="dxa"/>
          </w:tcPr>
          <w:p w:rsidR="004B0343" w:rsidRDefault="004B0343" w:rsidP="00025F90">
            <w:pPr>
              <w:jc w:val="both"/>
            </w:pPr>
          </w:p>
          <w:p w:rsidR="004B0343" w:rsidRDefault="004B0343" w:rsidP="00025F90">
            <w:pPr>
              <w:jc w:val="both"/>
            </w:pPr>
            <w:r>
              <w:rPr>
                <w:rFonts w:ascii="Calibri" w:hAnsi="Calibri"/>
                <w:shd w:val="clear" w:color="auto" w:fill="FFFFFF"/>
              </w:rPr>
              <w:t xml:space="preserve">Currently </w:t>
            </w:r>
            <w:r w:rsidR="00025F90">
              <w:rPr>
                <w:rFonts w:ascii="Calibri" w:hAnsi="Calibri"/>
                <w:shd w:val="clear" w:color="auto" w:fill="FFFFFF"/>
              </w:rPr>
              <w:t xml:space="preserve">we </w:t>
            </w:r>
            <w:r>
              <w:rPr>
                <w:rFonts w:ascii="Calibri" w:hAnsi="Calibri"/>
                <w:shd w:val="clear" w:color="auto" w:fill="FFFFFF"/>
              </w:rPr>
              <w:t>do not have</w:t>
            </w:r>
            <w:r>
              <w:rPr>
                <w:rStyle w:val="apple-converted-space"/>
                <w:rFonts w:ascii="Calibri" w:hAnsi="Calibri"/>
                <w:color w:val="212121"/>
                <w:shd w:val="clear" w:color="auto" w:fill="FFFFFF"/>
              </w:rPr>
              <w:t> </w:t>
            </w:r>
            <w:r>
              <w:rPr>
                <w:rFonts w:ascii="Calibri" w:hAnsi="Calibri"/>
                <w:color w:val="212121"/>
                <w:shd w:val="clear" w:color="auto" w:fill="FFFFFF"/>
              </w:rPr>
              <w:t>provided a special credit-guarantee line for KET-s. But, at the next period we will make some changes to legislation and introduce new credit-guarantee line for these purposes, and would then anticipate and procedures for evaluating the risks of the project and issuance of guarantees for this purpose.</w:t>
            </w:r>
          </w:p>
          <w:p w:rsidR="004B0343" w:rsidRDefault="004B0343" w:rsidP="00025F90">
            <w:pPr>
              <w:jc w:val="both"/>
            </w:pPr>
          </w:p>
          <w:p w:rsidR="00025F90" w:rsidRDefault="00025F90" w:rsidP="00025F90">
            <w:pPr>
              <w:jc w:val="both"/>
            </w:pPr>
          </w:p>
        </w:tc>
      </w:tr>
      <w:tr w:rsidR="004B0343" w:rsidTr="00AE5CA8">
        <w:tblPrEx>
          <w:tblLook w:val="0000" w:firstRow="0" w:lastRow="0" w:firstColumn="0" w:lastColumn="0" w:noHBand="0" w:noVBand="0"/>
        </w:tblPrEx>
        <w:trPr>
          <w:trHeight w:val="2505"/>
        </w:trPr>
        <w:tc>
          <w:tcPr>
            <w:tcW w:w="3618" w:type="dxa"/>
          </w:tcPr>
          <w:p w:rsidR="004B0343" w:rsidRDefault="004B0343" w:rsidP="00025F90">
            <w:pPr>
              <w:ind w:left="108"/>
              <w:jc w:val="both"/>
            </w:pPr>
          </w:p>
          <w:p w:rsidR="004B0343" w:rsidRDefault="008D2C8C" w:rsidP="00025F90">
            <w:pPr>
              <w:ind w:left="108"/>
              <w:jc w:val="both"/>
            </w:pPr>
            <w:proofErr w:type="spellStart"/>
            <w:r>
              <w:t>KredEx</w:t>
            </w:r>
            <w:proofErr w:type="spellEnd"/>
            <w:r w:rsidR="004B0343">
              <w:t xml:space="preserve"> Estonia </w:t>
            </w:r>
          </w:p>
        </w:tc>
        <w:tc>
          <w:tcPr>
            <w:tcW w:w="5958" w:type="dxa"/>
            <w:shd w:val="clear" w:color="auto" w:fill="auto"/>
          </w:tcPr>
          <w:p w:rsidR="004B0343" w:rsidRPr="00025F90" w:rsidRDefault="004B0343" w:rsidP="00025F90">
            <w:pPr>
              <w:jc w:val="both"/>
            </w:pPr>
          </w:p>
          <w:p w:rsidR="004B0343" w:rsidRPr="00025F90" w:rsidRDefault="004B0343" w:rsidP="00025F90">
            <w:pPr>
              <w:jc w:val="both"/>
            </w:pPr>
            <w:r w:rsidRPr="00025F90">
              <w:rPr>
                <w:b/>
              </w:rPr>
              <w:t>General assessment:</w:t>
            </w:r>
            <w:r w:rsidRPr="00025F90">
              <w:t xml:space="preserve"> We are treating them as regular loan customers and demanding the same amount of information. Mainly we are looking</w:t>
            </w:r>
            <w:r w:rsidR="00025F90" w:rsidRPr="00025F90">
              <w:t xml:space="preserve"> at</w:t>
            </w:r>
            <w:r w:rsidRPr="00025F90">
              <w:t xml:space="preserve"> the ability to pay back the loan, no matter </w:t>
            </w:r>
            <w:r w:rsidR="00025F90" w:rsidRPr="00025F90">
              <w:t>if it is</w:t>
            </w:r>
            <w:r w:rsidRPr="00025F90">
              <w:t xml:space="preserve"> done via subsidies or by customers they have.</w:t>
            </w:r>
          </w:p>
          <w:p w:rsidR="004B0343" w:rsidRPr="00025F90" w:rsidRDefault="004B0343" w:rsidP="00025F90">
            <w:pPr>
              <w:jc w:val="both"/>
            </w:pPr>
          </w:p>
          <w:p w:rsidR="004B0343" w:rsidRPr="00025F90" w:rsidRDefault="004B0343" w:rsidP="00025F90">
            <w:pPr>
              <w:jc w:val="both"/>
            </w:pPr>
            <w:r w:rsidRPr="00025F90">
              <w:rPr>
                <w:b/>
              </w:rPr>
              <w:t xml:space="preserve">Risk assessment: </w:t>
            </w:r>
            <w:r w:rsidRPr="00025F90">
              <w:t>All is done in</w:t>
            </w:r>
            <w:r w:rsidR="00025F90" w:rsidRPr="00025F90">
              <w:t xml:space="preserve"> the</w:t>
            </w:r>
            <w:r w:rsidRPr="00025F90">
              <w:t xml:space="preserve"> same way as for regular loan customers.</w:t>
            </w:r>
          </w:p>
          <w:p w:rsidR="004B0343" w:rsidRPr="00025F90" w:rsidRDefault="004B0343" w:rsidP="00025F90">
            <w:pPr>
              <w:jc w:val="center"/>
            </w:pPr>
          </w:p>
          <w:p w:rsidR="004B0343" w:rsidRPr="00025F90" w:rsidRDefault="004B0343" w:rsidP="00025F90">
            <w:pPr>
              <w:jc w:val="both"/>
            </w:pPr>
            <w:r w:rsidRPr="00025F90">
              <w:rPr>
                <w:b/>
              </w:rPr>
              <w:t>Ensuring expertise in ever changing environment:</w:t>
            </w:r>
            <w:r w:rsidRPr="00025F90">
              <w:t xml:space="preserve"> We are not taking technology risk in that sense that we are only financing projects where payback ability already exists. So in that sense we don’t need high level of knowledge in this field. As we are selling our services trough banks, they are analyzing the project as well. And one aspect is important – as we are </w:t>
            </w:r>
            <w:r w:rsidR="00025F90" w:rsidRPr="00025F90">
              <w:t xml:space="preserve">a small country - </w:t>
            </w:r>
            <w:r w:rsidRPr="00025F90">
              <w:t>we know the people behind the projects.</w:t>
            </w:r>
          </w:p>
          <w:p w:rsidR="004B0343" w:rsidRDefault="004B0343" w:rsidP="00025F90">
            <w:pPr>
              <w:jc w:val="both"/>
            </w:pPr>
          </w:p>
          <w:p w:rsidR="00025F90" w:rsidRDefault="00025F90" w:rsidP="00025F90">
            <w:pPr>
              <w:jc w:val="both"/>
            </w:pPr>
          </w:p>
        </w:tc>
      </w:tr>
      <w:tr w:rsidR="004B0343" w:rsidTr="00AE5CA8">
        <w:tblPrEx>
          <w:tblLook w:val="0000" w:firstRow="0" w:lastRow="0" w:firstColumn="0" w:lastColumn="0" w:noHBand="0" w:noVBand="0"/>
        </w:tblPrEx>
        <w:trPr>
          <w:trHeight w:val="1965"/>
        </w:trPr>
        <w:tc>
          <w:tcPr>
            <w:tcW w:w="3618" w:type="dxa"/>
          </w:tcPr>
          <w:p w:rsidR="004B0343" w:rsidRDefault="004B0343" w:rsidP="00025F90">
            <w:pPr>
              <w:jc w:val="both"/>
            </w:pPr>
          </w:p>
          <w:p w:rsidR="004B0343" w:rsidRDefault="004B0343" w:rsidP="00025F90">
            <w:pPr>
              <w:jc w:val="both"/>
            </w:pPr>
            <w:r>
              <w:t xml:space="preserve">PMV Belgium </w:t>
            </w:r>
          </w:p>
        </w:tc>
        <w:tc>
          <w:tcPr>
            <w:tcW w:w="5958" w:type="dxa"/>
            <w:shd w:val="clear" w:color="auto" w:fill="auto"/>
          </w:tcPr>
          <w:p w:rsidR="004B0343" w:rsidRPr="00025F90" w:rsidRDefault="004B0343" w:rsidP="00025F90">
            <w:pPr>
              <w:jc w:val="both"/>
            </w:pPr>
          </w:p>
          <w:p w:rsidR="004B0343" w:rsidRPr="004B0343" w:rsidRDefault="004B0343" w:rsidP="00025F90">
            <w:pPr>
              <w:jc w:val="both"/>
            </w:pPr>
            <w:r w:rsidRPr="00025F90">
              <w:t>PMV-Waarborgbeheer has a portfolio-guarantee system.</w:t>
            </w:r>
            <w:r w:rsidR="00025F90">
              <w:t xml:space="preserve"> </w:t>
            </w:r>
            <w:r w:rsidRPr="00025F90">
              <w:t>It is the bank that takes the decision, we don’t execute an assessment. So we are not able to make a contribution to this request</w:t>
            </w:r>
            <w:r w:rsidRPr="004B0343">
              <w:rPr>
                <w:rFonts w:ascii="Calibri" w:eastAsia="Times New Roman" w:hAnsi="Calibri" w:cs="Segoe UI"/>
              </w:rPr>
              <w:t>.</w:t>
            </w:r>
          </w:p>
        </w:tc>
      </w:tr>
      <w:tr w:rsidR="004B0343" w:rsidTr="00AE5CA8">
        <w:tblPrEx>
          <w:tblLook w:val="0000" w:firstRow="0" w:lastRow="0" w:firstColumn="0" w:lastColumn="0" w:noHBand="0" w:noVBand="0"/>
        </w:tblPrEx>
        <w:trPr>
          <w:trHeight w:val="1965"/>
        </w:trPr>
        <w:tc>
          <w:tcPr>
            <w:tcW w:w="3618" w:type="dxa"/>
          </w:tcPr>
          <w:p w:rsidR="004B0343" w:rsidRDefault="004B0343" w:rsidP="00025F90">
            <w:pPr>
              <w:jc w:val="both"/>
            </w:pPr>
          </w:p>
          <w:p w:rsidR="004B0343" w:rsidRDefault="008D2C8C" w:rsidP="00025F90">
            <w:pPr>
              <w:jc w:val="both"/>
            </w:pPr>
            <w:proofErr w:type="spellStart"/>
            <w:r>
              <w:t>aws</w:t>
            </w:r>
            <w:proofErr w:type="spellEnd"/>
            <w:r w:rsidR="004B0343">
              <w:t xml:space="preserve"> Austria</w:t>
            </w:r>
          </w:p>
        </w:tc>
        <w:tc>
          <w:tcPr>
            <w:tcW w:w="5958" w:type="dxa"/>
            <w:shd w:val="clear" w:color="auto" w:fill="auto"/>
          </w:tcPr>
          <w:p w:rsidR="004B0343" w:rsidRDefault="004B0343" w:rsidP="00025F90">
            <w:pPr>
              <w:shd w:val="clear" w:color="auto" w:fill="FFFFFF"/>
              <w:jc w:val="both"/>
              <w:rPr>
                <w:rFonts w:ascii="Calibri" w:eastAsia="Times New Roman" w:hAnsi="Calibri" w:cs="Segoe UI"/>
                <w:b/>
              </w:rPr>
            </w:pPr>
          </w:p>
          <w:p w:rsidR="004B0343" w:rsidRDefault="004B0343" w:rsidP="00025F90">
            <w:pPr>
              <w:shd w:val="clear" w:color="auto" w:fill="FFFFFF"/>
              <w:jc w:val="both"/>
              <w:rPr>
                <w:rFonts w:ascii="Calibri" w:eastAsia="Times New Roman" w:hAnsi="Calibri" w:cs="Segoe UI"/>
              </w:rPr>
            </w:pPr>
            <w:r w:rsidRPr="004B0343">
              <w:rPr>
                <w:rFonts w:ascii="Calibri" w:eastAsia="Times New Roman" w:hAnsi="Calibri" w:cs="Segoe UI"/>
                <w:b/>
              </w:rPr>
              <w:t>General assessment</w:t>
            </w:r>
            <w:r>
              <w:rPr>
                <w:rFonts w:ascii="Calibri" w:eastAsia="Times New Roman" w:hAnsi="Calibri" w:cs="Segoe UI"/>
              </w:rPr>
              <w:t xml:space="preserve">: </w:t>
            </w:r>
            <w:r w:rsidRPr="004B0343">
              <w:rPr>
                <w:rFonts w:ascii="Calibri" w:hAnsi="Calibri"/>
                <w:shd w:val="clear" w:color="auto" w:fill="FFFFFF"/>
              </w:rPr>
              <w:t xml:space="preserve">We don’t make a distinction for KETs. As for other projects we </w:t>
            </w:r>
            <w:r w:rsidR="008D4200" w:rsidRPr="004B0343">
              <w:rPr>
                <w:rFonts w:ascii="Calibri" w:hAnsi="Calibri"/>
                <w:shd w:val="clear" w:color="auto" w:fill="FFFFFF"/>
              </w:rPr>
              <w:t>analyze</w:t>
            </w:r>
            <w:r w:rsidRPr="004B0343">
              <w:rPr>
                <w:rFonts w:ascii="Calibri" w:hAnsi="Calibri"/>
                <w:shd w:val="clear" w:color="auto" w:fill="FFFFFF"/>
              </w:rPr>
              <w:t xml:space="preserve"> the profitability (including a credit rating) as well as the economic impact (including a scoring model that takes into account the following aspects: innovation, growth, eco-balance and diversity).</w:t>
            </w:r>
          </w:p>
          <w:p w:rsidR="004B0343" w:rsidRPr="004B0343" w:rsidRDefault="004B0343" w:rsidP="00025F90">
            <w:pPr>
              <w:shd w:val="clear" w:color="auto" w:fill="FFFFFF"/>
              <w:jc w:val="both"/>
              <w:rPr>
                <w:rFonts w:ascii="Calibri" w:eastAsia="Times New Roman" w:hAnsi="Calibri" w:cs="Segoe UI"/>
              </w:rPr>
            </w:pPr>
          </w:p>
          <w:p w:rsidR="004B0343" w:rsidRPr="004B0343" w:rsidRDefault="004B0343" w:rsidP="00025F90">
            <w:pPr>
              <w:shd w:val="clear" w:color="auto" w:fill="FFFFFF"/>
              <w:jc w:val="both"/>
              <w:rPr>
                <w:rFonts w:ascii="Calibri" w:hAnsi="Calibri"/>
                <w:shd w:val="clear" w:color="auto" w:fill="FFFFFF"/>
              </w:rPr>
            </w:pPr>
            <w:r w:rsidRPr="004B0343">
              <w:rPr>
                <w:rFonts w:ascii="Calibri" w:eastAsia="Times New Roman" w:hAnsi="Calibri" w:cs="Segoe UI"/>
                <w:b/>
              </w:rPr>
              <w:t>Risk assessment</w:t>
            </w:r>
            <w:r w:rsidRPr="004B0343">
              <w:rPr>
                <w:rFonts w:ascii="Calibri" w:eastAsia="Times New Roman" w:hAnsi="Calibri" w:cs="Segoe UI"/>
              </w:rPr>
              <w:t xml:space="preserve">: </w:t>
            </w:r>
            <w:r w:rsidRPr="004B0343">
              <w:rPr>
                <w:rFonts w:ascii="Calibri" w:hAnsi="Calibri"/>
                <w:shd w:val="clear" w:color="auto" w:fill="FFFFFF"/>
              </w:rPr>
              <w:t>See question 1.</w:t>
            </w:r>
          </w:p>
          <w:p w:rsidR="004B0343" w:rsidRPr="004B0343" w:rsidRDefault="004B0343" w:rsidP="00025F90">
            <w:pPr>
              <w:shd w:val="clear" w:color="auto" w:fill="FFFFFF"/>
              <w:jc w:val="both"/>
              <w:rPr>
                <w:rFonts w:ascii="Calibri" w:hAnsi="Calibri"/>
                <w:shd w:val="clear" w:color="auto" w:fill="FFFFFF"/>
              </w:rPr>
            </w:pPr>
          </w:p>
          <w:p w:rsidR="004B0343" w:rsidRPr="004B0343" w:rsidRDefault="004B0343" w:rsidP="00025F90">
            <w:pPr>
              <w:shd w:val="clear" w:color="auto" w:fill="FFFFFF"/>
              <w:jc w:val="both"/>
              <w:rPr>
                <w:rFonts w:ascii="Calibri" w:hAnsi="Calibri"/>
                <w:shd w:val="clear" w:color="auto" w:fill="FFFFFF"/>
              </w:rPr>
            </w:pPr>
            <w:r w:rsidRPr="004B0343">
              <w:rPr>
                <w:rFonts w:ascii="Calibri" w:hAnsi="Calibri"/>
                <w:b/>
                <w:shd w:val="clear" w:color="auto" w:fill="FFFFFF"/>
              </w:rPr>
              <w:t>Ensuring expertise in ever changing environment:</w:t>
            </w:r>
            <w:r w:rsidRPr="004B0343">
              <w:rPr>
                <w:rFonts w:ascii="Calibri" w:hAnsi="Calibri"/>
                <w:shd w:val="clear" w:color="auto" w:fill="FFFFFF"/>
              </w:rPr>
              <w:t xml:space="preserve"> In </w:t>
            </w:r>
            <w:proofErr w:type="spellStart"/>
            <w:r w:rsidRPr="004B0343">
              <w:rPr>
                <w:rFonts w:ascii="Calibri" w:hAnsi="Calibri"/>
                <w:shd w:val="clear" w:color="auto" w:fill="FFFFFF"/>
              </w:rPr>
              <w:t>aws</w:t>
            </w:r>
            <w:proofErr w:type="spellEnd"/>
            <w:r w:rsidRPr="004B0343">
              <w:rPr>
                <w:rFonts w:ascii="Calibri" w:hAnsi="Calibri"/>
                <w:shd w:val="clear" w:color="auto" w:fill="FFFFFF"/>
              </w:rPr>
              <w:t xml:space="preserve"> we have a team of technology experts that are active in their respective field. If it is necessary we call for external expertise.</w:t>
            </w:r>
          </w:p>
          <w:p w:rsidR="004B0343" w:rsidRPr="004B0343" w:rsidRDefault="004B0343" w:rsidP="00025F90">
            <w:pPr>
              <w:shd w:val="clear" w:color="auto" w:fill="FFFFFF"/>
              <w:jc w:val="both"/>
              <w:rPr>
                <w:rFonts w:ascii="Segoe UI" w:eastAsia="Times New Roman" w:hAnsi="Segoe UI" w:cs="Segoe UI"/>
                <w:sz w:val="23"/>
                <w:szCs w:val="23"/>
              </w:rPr>
            </w:pPr>
          </w:p>
          <w:p w:rsidR="004B0343" w:rsidRDefault="004B0343" w:rsidP="00025F90">
            <w:pPr>
              <w:shd w:val="clear" w:color="auto" w:fill="FFFFFF"/>
              <w:jc w:val="both"/>
            </w:pPr>
          </w:p>
        </w:tc>
      </w:tr>
      <w:tr w:rsidR="004B0343" w:rsidTr="00AE5CA8">
        <w:tblPrEx>
          <w:tblLook w:val="0000" w:firstRow="0" w:lastRow="0" w:firstColumn="0" w:lastColumn="0" w:noHBand="0" w:noVBand="0"/>
        </w:tblPrEx>
        <w:trPr>
          <w:trHeight w:val="1590"/>
        </w:trPr>
        <w:tc>
          <w:tcPr>
            <w:tcW w:w="3618" w:type="dxa"/>
          </w:tcPr>
          <w:p w:rsidR="004B0343" w:rsidRDefault="004B0343" w:rsidP="00025F90">
            <w:pPr>
              <w:jc w:val="both"/>
            </w:pPr>
          </w:p>
          <w:p w:rsidR="004B0343" w:rsidRDefault="004B0343" w:rsidP="00025F90">
            <w:pPr>
              <w:jc w:val="both"/>
            </w:pPr>
            <w:r>
              <w:t>Slovene Enterprise Fund</w:t>
            </w:r>
            <w:r w:rsidR="00025F90">
              <w:t xml:space="preserve"> Slovenia</w:t>
            </w:r>
          </w:p>
        </w:tc>
        <w:tc>
          <w:tcPr>
            <w:tcW w:w="5958" w:type="dxa"/>
            <w:shd w:val="clear" w:color="auto" w:fill="auto"/>
          </w:tcPr>
          <w:p w:rsidR="008D4200" w:rsidRDefault="008D4200" w:rsidP="00025F90">
            <w:pPr>
              <w:jc w:val="both"/>
              <w:rPr>
                <w:rFonts w:ascii="Calibri" w:eastAsia="Times New Roman" w:hAnsi="Calibri" w:cs="Segoe UI"/>
                <w:b/>
              </w:rPr>
            </w:pPr>
          </w:p>
          <w:p w:rsidR="004B0343" w:rsidRDefault="004B0343" w:rsidP="00025F90">
            <w:pPr>
              <w:jc w:val="both"/>
              <w:rPr>
                <w:rFonts w:ascii="Calibri" w:hAnsi="Calibri"/>
                <w:iCs/>
                <w:color w:val="000000"/>
                <w:shd w:val="clear" w:color="auto" w:fill="FFFFFF"/>
              </w:rPr>
            </w:pPr>
            <w:r w:rsidRPr="004B0343">
              <w:rPr>
                <w:rFonts w:ascii="Calibri" w:eastAsia="Times New Roman" w:hAnsi="Calibri" w:cs="Segoe UI"/>
                <w:b/>
              </w:rPr>
              <w:t>General assessment</w:t>
            </w:r>
            <w:r>
              <w:rPr>
                <w:rFonts w:ascii="Calibri" w:eastAsia="Times New Roman" w:hAnsi="Calibri" w:cs="Segoe UI"/>
              </w:rPr>
              <w:t xml:space="preserve">: </w:t>
            </w:r>
            <w:r w:rsidRPr="004B0343">
              <w:rPr>
                <w:rFonts w:ascii="Calibri" w:hAnsi="Calibri"/>
                <w:iCs/>
                <w:color w:val="000000"/>
                <w:shd w:val="clear" w:color="auto" w:fill="FFFFFF"/>
              </w:rPr>
              <w:t xml:space="preserve">Slovene Enterprise Fund as a public financial institution can offer guarantees only through the public tender, </w:t>
            </w:r>
            <w:r w:rsidR="008D4200">
              <w:rPr>
                <w:rFonts w:ascii="Calibri" w:hAnsi="Calibri"/>
                <w:iCs/>
                <w:color w:val="000000"/>
                <w:shd w:val="clear" w:color="auto" w:fill="FFFFFF"/>
              </w:rPr>
              <w:t>which</w:t>
            </w:r>
            <w:r w:rsidRPr="004B0343">
              <w:rPr>
                <w:rFonts w:ascii="Calibri" w:hAnsi="Calibri"/>
                <w:iCs/>
                <w:color w:val="000000"/>
                <w:shd w:val="clear" w:color="auto" w:fill="FFFFFF"/>
              </w:rPr>
              <w:t xml:space="preserve"> is published once a year. Public tender consist of all the criteria and conditions to obtain our guarantee. There is no different procedure or assessment for the key enabling technologies. Assessment consists of classical criteria (purpose of the project, employees, own resources for the project, growth dynamics of total income, value added increase per employee, market orientation, environment influences, status of the company, …).</w:t>
            </w:r>
          </w:p>
          <w:p w:rsidR="004B0343" w:rsidRDefault="004B0343" w:rsidP="00025F90">
            <w:pPr>
              <w:jc w:val="both"/>
              <w:rPr>
                <w:rFonts w:ascii="Calibri" w:hAnsi="Calibri"/>
                <w:iCs/>
                <w:color w:val="000000"/>
                <w:shd w:val="clear" w:color="auto" w:fill="FFFFFF"/>
              </w:rPr>
            </w:pPr>
          </w:p>
          <w:p w:rsidR="004B0343" w:rsidRPr="004B0343" w:rsidRDefault="004B0343" w:rsidP="00025F90">
            <w:pPr>
              <w:shd w:val="clear" w:color="auto" w:fill="FFFFFF"/>
              <w:jc w:val="both"/>
              <w:rPr>
                <w:rFonts w:ascii="Calibri" w:hAnsi="Calibri"/>
                <w:shd w:val="clear" w:color="auto" w:fill="FFFFFF"/>
              </w:rPr>
            </w:pPr>
            <w:r w:rsidRPr="004B0343">
              <w:rPr>
                <w:rFonts w:ascii="Calibri" w:eastAsia="Times New Roman" w:hAnsi="Calibri" w:cs="Segoe UI"/>
                <w:b/>
              </w:rPr>
              <w:t>Risk assessment</w:t>
            </w:r>
            <w:r w:rsidRPr="004B0343">
              <w:rPr>
                <w:rFonts w:ascii="Calibri" w:eastAsia="Times New Roman" w:hAnsi="Calibri" w:cs="Segoe UI"/>
              </w:rPr>
              <w:t xml:space="preserve">: </w:t>
            </w:r>
            <w:r w:rsidR="008D4200" w:rsidRPr="008D4200">
              <w:rPr>
                <w:rFonts w:ascii="Calibri" w:hAnsi="Calibri"/>
                <w:iCs/>
                <w:color w:val="000000"/>
                <w:shd w:val="clear" w:color="auto" w:fill="FFFFFF"/>
              </w:rPr>
              <w:t>Risk assessment is also the same as for all other technologies and activities; there is no difference for the key enabling technologies. Assessment consists of rating, financial indicators, collateral, analysis of financial position.</w:t>
            </w:r>
          </w:p>
          <w:p w:rsidR="004B0343" w:rsidRPr="004B0343" w:rsidRDefault="004B0343" w:rsidP="00025F90">
            <w:pPr>
              <w:shd w:val="clear" w:color="auto" w:fill="FFFFFF"/>
              <w:jc w:val="both"/>
              <w:rPr>
                <w:rFonts w:ascii="Calibri" w:hAnsi="Calibri"/>
                <w:shd w:val="clear" w:color="auto" w:fill="FFFFFF"/>
              </w:rPr>
            </w:pPr>
          </w:p>
          <w:p w:rsidR="004B0343" w:rsidRPr="004B0343" w:rsidRDefault="004B0343" w:rsidP="00025F90">
            <w:pPr>
              <w:shd w:val="clear" w:color="auto" w:fill="FFFFFF"/>
              <w:jc w:val="both"/>
              <w:rPr>
                <w:rFonts w:ascii="Calibri" w:hAnsi="Calibri"/>
                <w:shd w:val="clear" w:color="auto" w:fill="FFFFFF"/>
              </w:rPr>
            </w:pPr>
            <w:r w:rsidRPr="004B0343">
              <w:rPr>
                <w:rFonts w:ascii="Calibri" w:hAnsi="Calibri"/>
                <w:b/>
                <w:shd w:val="clear" w:color="auto" w:fill="FFFFFF"/>
              </w:rPr>
              <w:t>Ensuring expertise in ever changing environment:</w:t>
            </w:r>
            <w:r w:rsidRPr="004B0343">
              <w:rPr>
                <w:rFonts w:ascii="Calibri" w:hAnsi="Calibri"/>
                <w:shd w:val="clear" w:color="auto" w:fill="FFFFFF"/>
              </w:rPr>
              <w:t xml:space="preserve"> </w:t>
            </w:r>
            <w:r w:rsidR="008D4200" w:rsidRPr="008D4200">
              <w:rPr>
                <w:rFonts w:ascii="Calibri" w:hAnsi="Calibri"/>
                <w:iCs/>
                <w:color w:val="000000"/>
                <w:shd w:val="clear" w:color="auto" w:fill="FFFFFF"/>
              </w:rPr>
              <w:t>Our guarantee institution is trying to ensure high technological expertise with constant contact with the environment and also through trainings, seminars, conferences</w:t>
            </w:r>
            <w:r w:rsidR="008D4200">
              <w:rPr>
                <w:rFonts w:ascii="Calibri" w:hAnsi="Calibri"/>
                <w:iCs/>
                <w:color w:val="000000"/>
                <w:shd w:val="clear" w:color="auto" w:fill="FFFFFF"/>
              </w:rPr>
              <w:t xml:space="preserve"> etc. </w:t>
            </w:r>
          </w:p>
          <w:p w:rsidR="004B0343" w:rsidRPr="004B0343" w:rsidRDefault="004B0343" w:rsidP="00025F90">
            <w:pPr>
              <w:shd w:val="clear" w:color="auto" w:fill="FFFFFF"/>
              <w:jc w:val="both"/>
              <w:rPr>
                <w:rFonts w:ascii="Segoe UI" w:eastAsia="Times New Roman" w:hAnsi="Segoe UI" w:cs="Segoe UI"/>
                <w:sz w:val="23"/>
                <w:szCs w:val="23"/>
              </w:rPr>
            </w:pPr>
          </w:p>
          <w:p w:rsidR="004B0343" w:rsidRDefault="004B0343" w:rsidP="00025F90">
            <w:pPr>
              <w:shd w:val="clear" w:color="auto" w:fill="FFFFFF"/>
              <w:jc w:val="both"/>
            </w:pPr>
            <w:r w:rsidRPr="004B0343">
              <w:rPr>
                <w:rFonts w:ascii="Calibri" w:eastAsia="Times New Roman" w:hAnsi="Calibri" w:cs="Segoe UI"/>
              </w:rPr>
              <w:t> </w:t>
            </w:r>
          </w:p>
        </w:tc>
      </w:tr>
      <w:tr w:rsidR="008D4200" w:rsidTr="00AE5CA8">
        <w:tblPrEx>
          <w:tblLook w:val="0000" w:firstRow="0" w:lastRow="0" w:firstColumn="0" w:lastColumn="0" w:noHBand="0" w:noVBand="0"/>
        </w:tblPrEx>
        <w:trPr>
          <w:trHeight w:val="1935"/>
        </w:trPr>
        <w:tc>
          <w:tcPr>
            <w:tcW w:w="3618" w:type="dxa"/>
          </w:tcPr>
          <w:p w:rsidR="008D4200" w:rsidRPr="008D4200" w:rsidRDefault="008D4200" w:rsidP="00025F90">
            <w:pPr>
              <w:jc w:val="both"/>
            </w:pPr>
          </w:p>
          <w:p w:rsidR="008D4200" w:rsidRPr="008D4200" w:rsidRDefault="008D4200" w:rsidP="00025F90">
            <w:pPr>
              <w:jc w:val="both"/>
            </w:pPr>
            <w:r w:rsidRPr="008D4200">
              <w:t>CMRZB Czech Republic</w:t>
            </w:r>
          </w:p>
        </w:tc>
        <w:tc>
          <w:tcPr>
            <w:tcW w:w="5958" w:type="dxa"/>
            <w:shd w:val="clear" w:color="auto" w:fill="auto"/>
          </w:tcPr>
          <w:p w:rsidR="008D4200" w:rsidRPr="008D4200" w:rsidRDefault="008D4200" w:rsidP="00025F90">
            <w:pPr>
              <w:jc w:val="both"/>
              <w:rPr>
                <w:rFonts w:ascii="Calibri" w:hAnsi="Calibri"/>
                <w:shd w:val="clear" w:color="auto" w:fill="FFFFFF"/>
              </w:rPr>
            </w:pPr>
          </w:p>
          <w:p w:rsidR="008D4200" w:rsidRDefault="008D4200" w:rsidP="00025F90">
            <w:pPr>
              <w:jc w:val="both"/>
              <w:rPr>
                <w:rFonts w:ascii="Calibri" w:hAnsi="Calibri"/>
                <w:shd w:val="clear" w:color="auto" w:fill="FFFFFF"/>
              </w:rPr>
            </w:pPr>
            <w:r w:rsidRPr="008D4200">
              <w:rPr>
                <w:rFonts w:ascii="Calibri" w:hAnsi="Calibri"/>
                <w:shd w:val="clear" w:color="auto" w:fill="FFFFFF"/>
              </w:rPr>
              <w:t>Up to now, CMZRB does not have any experience with KET.</w:t>
            </w:r>
          </w:p>
          <w:p w:rsidR="008D4200" w:rsidRPr="008D4200" w:rsidRDefault="008D4200" w:rsidP="00025F90">
            <w:pPr>
              <w:jc w:val="both"/>
            </w:pPr>
          </w:p>
        </w:tc>
      </w:tr>
      <w:tr w:rsidR="008D4200" w:rsidTr="00AE5CA8">
        <w:tblPrEx>
          <w:tblLook w:val="0000" w:firstRow="0" w:lastRow="0" w:firstColumn="0" w:lastColumn="0" w:noHBand="0" w:noVBand="0"/>
        </w:tblPrEx>
        <w:trPr>
          <w:trHeight w:val="1110"/>
        </w:trPr>
        <w:tc>
          <w:tcPr>
            <w:tcW w:w="3618" w:type="dxa"/>
          </w:tcPr>
          <w:p w:rsidR="008D4200" w:rsidRDefault="008D4200" w:rsidP="00025F90">
            <w:pPr>
              <w:jc w:val="both"/>
            </w:pPr>
          </w:p>
          <w:p w:rsidR="008D4200" w:rsidRDefault="008D4200" w:rsidP="00025F90">
            <w:pPr>
              <w:jc w:val="both"/>
            </w:pPr>
            <w:r>
              <w:t xml:space="preserve">BGK Poland </w:t>
            </w:r>
          </w:p>
        </w:tc>
        <w:tc>
          <w:tcPr>
            <w:tcW w:w="5958" w:type="dxa"/>
            <w:shd w:val="clear" w:color="auto" w:fill="auto"/>
          </w:tcPr>
          <w:p w:rsidR="008D4200" w:rsidRDefault="008D4200" w:rsidP="00025F90">
            <w:pPr>
              <w:shd w:val="clear" w:color="auto" w:fill="FFFFFF"/>
              <w:jc w:val="both"/>
              <w:rPr>
                <w:rFonts w:ascii="Calibri" w:eastAsia="Times New Roman" w:hAnsi="Calibri" w:cs="Segoe UI"/>
                <w:color w:val="000000"/>
              </w:rPr>
            </w:pPr>
          </w:p>
          <w:p w:rsidR="008D4200" w:rsidRPr="008D4200" w:rsidRDefault="008D4200" w:rsidP="00025F90">
            <w:pPr>
              <w:shd w:val="clear" w:color="auto" w:fill="FFFFFF"/>
              <w:jc w:val="both"/>
              <w:rPr>
                <w:rFonts w:ascii="Segoe UI" w:eastAsia="Times New Roman" w:hAnsi="Segoe UI" w:cs="Segoe UI"/>
                <w:color w:val="212121"/>
                <w:sz w:val="23"/>
                <w:szCs w:val="23"/>
              </w:rPr>
            </w:pPr>
            <w:r w:rsidRPr="008D4200">
              <w:rPr>
                <w:rFonts w:ascii="Calibri" w:eastAsia="Times New Roman" w:hAnsi="Calibri" w:cs="Segoe UI"/>
                <w:color w:val="000000"/>
              </w:rPr>
              <w:t xml:space="preserve">BGK in terms of guarantee activity does not have a program that directly supports projects in the area of key enabling technologies. Therefore any assessment of a company, </w:t>
            </w:r>
            <w:r>
              <w:rPr>
                <w:rFonts w:ascii="Calibri" w:eastAsia="Times New Roman" w:hAnsi="Calibri" w:cs="Segoe UI"/>
                <w:color w:val="000000"/>
              </w:rPr>
              <w:t>which</w:t>
            </w:r>
            <w:r w:rsidRPr="008D4200">
              <w:rPr>
                <w:rFonts w:ascii="Calibri" w:eastAsia="Times New Roman" w:hAnsi="Calibri" w:cs="Segoe UI"/>
                <w:color w:val="000000"/>
              </w:rPr>
              <w:t xml:space="preserve"> is engaged in KET activities, is performed as if it was a regular company.</w:t>
            </w:r>
          </w:p>
          <w:p w:rsidR="008D4200" w:rsidRPr="008D4200" w:rsidRDefault="008D4200" w:rsidP="00025F90">
            <w:pPr>
              <w:shd w:val="clear" w:color="auto" w:fill="FFFFFF"/>
              <w:jc w:val="both"/>
              <w:rPr>
                <w:rFonts w:ascii="Segoe UI" w:eastAsia="Times New Roman" w:hAnsi="Segoe UI" w:cs="Segoe UI"/>
                <w:color w:val="212121"/>
                <w:sz w:val="23"/>
                <w:szCs w:val="23"/>
              </w:rPr>
            </w:pPr>
            <w:r w:rsidRPr="008D4200">
              <w:rPr>
                <w:rFonts w:ascii="Calibri" w:eastAsia="Times New Roman" w:hAnsi="Calibri" w:cs="Segoe UI"/>
                <w:color w:val="000000"/>
              </w:rPr>
              <w:t> </w:t>
            </w:r>
          </w:p>
          <w:p w:rsidR="008D4200" w:rsidRDefault="008D4200" w:rsidP="00025F90">
            <w:pPr>
              <w:jc w:val="both"/>
            </w:pPr>
          </w:p>
        </w:tc>
      </w:tr>
      <w:tr w:rsidR="00AE5CA8" w:rsidTr="00AE5CA8">
        <w:tblPrEx>
          <w:tblLook w:val="0000" w:firstRow="0" w:lastRow="0" w:firstColumn="0" w:lastColumn="0" w:noHBand="0" w:noVBand="0"/>
        </w:tblPrEx>
        <w:trPr>
          <w:trHeight w:val="1575"/>
        </w:trPr>
        <w:tc>
          <w:tcPr>
            <w:tcW w:w="3618" w:type="dxa"/>
          </w:tcPr>
          <w:p w:rsidR="00AE5CA8" w:rsidRDefault="00AE5CA8" w:rsidP="00025F90">
            <w:pPr>
              <w:jc w:val="both"/>
            </w:pPr>
          </w:p>
          <w:p w:rsidR="00AE5CA8" w:rsidRDefault="00AE5CA8" w:rsidP="00025F90">
            <w:pPr>
              <w:jc w:val="both"/>
            </w:pPr>
            <w:r>
              <w:t>RRA GIZ</w:t>
            </w:r>
          </w:p>
        </w:tc>
        <w:tc>
          <w:tcPr>
            <w:tcW w:w="5955" w:type="dxa"/>
            <w:shd w:val="clear" w:color="auto" w:fill="auto"/>
          </w:tcPr>
          <w:p w:rsidR="00AE5CA8" w:rsidRDefault="00AE5CA8" w:rsidP="00025F90">
            <w:pPr>
              <w:shd w:val="clear" w:color="auto" w:fill="FFFFFF"/>
              <w:jc w:val="both"/>
              <w:rPr>
                <w:rFonts w:ascii="Calibri" w:eastAsia="Times New Roman" w:hAnsi="Calibri" w:cs="Segoe UI"/>
                <w:b/>
              </w:rPr>
            </w:pPr>
          </w:p>
          <w:p w:rsidR="005C07F1" w:rsidRDefault="005C07F1" w:rsidP="00025F90">
            <w:pPr>
              <w:jc w:val="both"/>
            </w:pPr>
            <w:r>
              <w:t xml:space="preserve">Slovenian </w:t>
            </w:r>
            <w:r w:rsidRPr="00FE00E6">
              <w:t xml:space="preserve">Association of Regional Development Agencies connects all Slovenian regional development agencies, which </w:t>
            </w:r>
            <w:r>
              <w:t>work</w:t>
            </w:r>
            <w:r w:rsidRPr="00FE00E6">
              <w:t xml:space="preserve"> </w:t>
            </w:r>
            <w:r>
              <w:t>on</w:t>
            </w:r>
            <w:r w:rsidRPr="00FE00E6">
              <w:t xml:space="preserve"> promoting balanced and sustainable developme</w:t>
            </w:r>
            <w:r>
              <w:t xml:space="preserve">nt at the regional level. All </w:t>
            </w:r>
            <w:r w:rsidRPr="00FE00E6">
              <w:t>Regional Development Agencies</w:t>
            </w:r>
            <w:r>
              <w:t xml:space="preserve"> perform Regional Guarantee Schemes, which are designed for all kind of perspective SMEs, not only for companies which deal with key enabling technologies</w:t>
            </w:r>
          </w:p>
          <w:p w:rsidR="005C07F1" w:rsidRDefault="005C07F1" w:rsidP="00025F90">
            <w:pPr>
              <w:shd w:val="clear" w:color="auto" w:fill="FFFFFF"/>
              <w:jc w:val="both"/>
              <w:rPr>
                <w:rFonts w:ascii="Calibri" w:eastAsia="Times New Roman" w:hAnsi="Calibri" w:cs="Segoe UI"/>
                <w:b/>
              </w:rPr>
            </w:pPr>
          </w:p>
          <w:p w:rsidR="00AE5CA8" w:rsidRPr="005C07F1" w:rsidRDefault="00AE5CA8" w:rsidP="00025F90">
            <w:pPr>
              <w:shd w:val="clear" w:color="auto" w:fill="FFFFFF"/>
              <w:jc w:val="both"/>
              <w:rPr>
                <w:rFonts w:ascii="Calibri" w:eastAsia="Times New Roman" w:hAnsi="Calibri" w:cs="Segoe UI"/>
              </w:rPr>
            </w:pPr>
            <w:r w:rsidRPr="004B0343">
              <w:rPr>
                <w:rFonts w:ascii="Calibri" w:eastAsia="Times New Roman" w:hAnsi="Calibri" w:cs="Segoe UI"/>
                <w:b/>
              </w:rPr>
              <w:t>General assessment</w:t>
            </w:r>
            <w:r>
              <w:rPr>
                <w:rFonts w:ascii="Calibri" w:eastAsia="Times New Roman" w:hAnsi="Calibri" w:cs="Segoe UI"/>
              </w:rPr>
              <w:t xml:space="preserve">: </w:t>
            </w:r>
            <w:r w:rsidR="005C07F1" w:rsidRPr="005C07F1">
              <w:rPr>
                <w:rFonts w:ascii="Calibri" w:eastAsia="Times New Roman" w:hAnsi="Calibri" w:cs="Segoe UI"/>
              </w:rPr>
              <w:t>Credit Guarantee Board (CGB) usually assess: project viability, innovativeness, financial capacity, applicant motivation, management capacity and long term sustainability</w:t>
            </w:r>
          </w:p>
          <w:p w:rsidR="00AE5CA8" w:rsidRPr="004B0343" w:rsidRDefault="00AE5CA8" w:rsidP="00025F90">
            <w:pPr>
              <w:shd w:val="clear" w:color="auto" w:fill="FFFFFF"/>
              <w:jc w:val="both"/>
              <w:rPr>
                <w:rFonts w:ascii="Calibri" w:eastAsia="Times New Roman" w:hAnsi="Calibri" w:cs="Segoe UI"/>
              </w:rPr>
            </w:pPr>
          </w:p>
          <w:p w:rsidR="00AE5CA8" w:rsidRPr="00AE5CA8" w:rsidRDefault="00AE5CA8" w:rsidP="00025F90">
            <w:pPr>
              <w:jc w:val="both"/>
            </w:pPr>
            <w:r w:rsidRPr="00AE5CA8">
              <w:rPr>
                <w:rFonts w:ascii="Calibri" w:eastAsia="Times New Roman" w:hAnsi="Calibri" w:cs="Segoe UI"/>
                <w:b/>
              </w:rPr>
              <w:t>Risk assessment</w:t>
            </w:r>
            <w:r w:rsidRPr="00AE5CA8">
              <w:rPr>
                <w:rFonts w:ascii="Calibri" w:eastAsia="Times New Roman" w:hAnsi="Calibri" w:cs="Segoe UI"/>
              </w:rPr>
              <w:t xml:space="preserve">: </w:t>
            </w:r>
            <w:r w:rsidRPr="00AE5CA8">
              <w:t xml:space="preserve">Credit documents are not analyzed only from typically financial aspects, CGB assess human aspect, regional importance of the project, past performance of the company/entrepreneur and similar issues to avoid the risk. </w:t>
            </w:r>
          </w:p>
          <w:p w:rsidR="00AE5CA8" w:rsidRDefault="00AE5CA8" w:rsidP="00025F90">
            <w:pPr>
              <w:shd w:val="clear" w:color="auto" w:fill="FFFFFF"/>
              <w:jc w:val="both"/>
              <w:rPr>
                <w:rFonts w:ascii="Calibri" w:hAnsi="Calibri"/>
                <w:shd w:val="clear" w:color="auto" w:fill="FFFFFF"/>
              </w:rPr>
            </w:pPr>
          </w:p>
          <w:p w:rsidR="00AE5CA8" w:rsidRPr="00AE5CA8" w:rsidRDefault="00AE5CA8" w:rsidP="00025F90">
            <w:pPr>
              <w:jc w:val="both"/>
            </w:pPr>
            <w:r w:rsidRPr="00AE5CA8">
              <w:rPr>
                <w:rFonts w:ascii="Calibri" w:hAnsi="Calibri"/>
                <w:b/>
                <w:shd w:val="clear" w:color="auto" w:fill="FFFFFF"/>
              </w:rPr>
              <w:t>Ensuring expertise in ever changing environment:</w:t>
            </w:r>
            <w:r w:rsidRPr="00AE5CA8">
              <w:rPr>
                <w:rFonts w:ascii="Calibri" w:hAnsi="Calibri"/>
                <w:shd w:val="clear" w:color="auto" w:fill="FFFFFF"/>
              </w:rPr>
              <w:t xml:space="preserve"> </w:t>
            </w:r>
            <w:r w:rsidRPr="00AE5CA8">
              <w:t>CGB is consisted by representative of banks, economic chambers and local communities, so we have access to different experts in case that CGB has to assess projects in field of key enabling technologies.</w:t>
            </w:r>
          </w:p>
          <w:p w:rsidR="00AE5CA8" w:rsidRDefault="00AE5CA8" w:rsidP="00025F90">
            <w:pPr>
              <w:shd w:val="clear" w:color="auto" w:fill="FFFFFF"/>
              <w:jc w:val="both"/>
              <w:rPr>
                <w:rFonts w:ascii="Calibri" w:hAnsi="Calibri"/>
                <w:shd w:val="clear" w:color="auto" w:fill="FFFFFF"/>
              </w:rPr>
            </w:pPr>
          </w:p>
          <w:p w:rsidR="00AE5CA8" w:rsidRDefault="00AE5CA8" w:rsidP="00025F90">
            <w:pPr>
              <w:shd w:val="clear" w:color="auto" w:fill="FFFFFF"/>
              <w:jc w:val="both"/>
            </w:pPr>
            <w:bookmarkStart w:id="0" w:name="_GoBack"/>
            <w:bookmarkEnd w:id="0"/>
          </w:p>
        </w:tc>
      </w:tr>
    </w:tbl>
    <w:p w:rsidR="004B0343" w:rsidRDefault="004B0343" w:rsidP="00025F90">
      <w:pPr>
        <w:jc w:val="both"/>
      </w:pPr>
    </w:p>
    <w:sectPr w:rsidR="004B0343" w:rsidSect="00025F90">
      <w:footerReference w:type="default" r:id="rId8"/>
      <w:pgSz w:w="12240" w:h="15840"/>
      <w:pgMar w:top="1418" w:right="1440" w:bottom="1440" w:left="144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3B8" w:rsidRDefault="002153B8" w:rsidP="00F444EC">
      <w:pPr>
        <w:spacing w:after="0" w:line="240" w:lineRule="auto"/>
      </w:pPr>
      <w:r>
        <w:separator/>
      </w:r>
    </w:p>
  </w:endnote>
  <w:endnote w:type="continuationSeparator" w:id="0">
    <w:p w:rsidR="002153B8" w:rsidRDefault="002153B8" w:rsidP="00F44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609769"/>
      <w:docPartObj>
        <w:docPartGallery w:val="Page Numbers (Bottom of Page)"/>
        <w:docPartUnique/>
      </w:docPartObj>
    </w:sdtPr>
    <w:sdtContent>
      <w:p w:rsidR="00F444EC" w:rsidRDefault="00F444EC">
        <w:pPr>
          <w:pStyle w:val="Fuzeile"/>
          <w:jc w:val="center"/>
        </w:pPr>
        <w:r>
          <w:fldChar w:fldCharType="begin"/>
        </w:r>
        <w:r>
          <w:instrText>PAGE   \* MERGEFORMAT</w:instrText>
        </w:r>
        <w:r>
          <w:fldChar w:fldCharType="separate"/>
        </w:r>
        <w:r w:rsidR="00025F90" w:rsidRPr="00025F90">
          <w:rPr>
            <w:noProof/>
            <w:lang w:val="de-DE"/>
          </w:rPr>
          <w:t>3</w:t>
        </w:r>
        <w:r>
          <w:fldChar w:fldCharType="end"/>
        </w:r>
      </w:p>
    </w:sdtContent>
  </w:sdt>
  <w:p w:rsidR="00F444EC" w:rsidRDefault="00F444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3B8" w:rsidRDefault="002153B8" w:rsidP="00F444EC">
      <w:pPr>
        <w:spacing w:after="0" w:line="240" w:lineRule="auto"/>
      </w:pPr>
      <w:r>
        <w:separator/>
      </w:r>
    </w:p>
  </w:footnote>
  <w:footnote w:type="continuationSeparator" w:id="0">
    <w:p w:rsidR="002153B8" w:rsidRDefault="002153B8" w:rsidP="00F44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05398"/>
    <w:multiLevelType w:val="hybridMultilevel"/>
    <w:tmpl w:val="85F8DE2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343"/>
    <w:rsid w:val="00025F90"/>
    <w:rsid w:val="002153B8"/>
    <w:rsid w:val="004B0343"/>
    <w:rsid w:val="005C07F1"/>
    <w:rsid w:val="00636BD5"/>
    <w:rsid w:val="00785FF5"/>
    <w:rsid w:val="008D2C8C"/>
    <w:rsid w:val="008D4200"/>
    <w:rsid w:val="009E1891"/>
    <w:rsid w:val="00AE5CA8"/>
    <w:rsid w:val="00D11CB3"/>
    <w:rsid w:val="00F444EC"/>
    <w:rsid w:val="00FA5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B5259"/>
  <w15:docId w15:val="{88B5B65B-4150-4EBF-AA82-37BEFECA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9E189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B0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4B0343"/>
  </w:style>
  <w:style w:type="paragraph" w:styleId="Listenabsatz">
    <w:name w:val="List Paragraph"/>
    <w:basedOn w:val="Standard"/>
    <w:uiPriority w:val="34"/>
    <w:qFormat/>
    <w:rsid w:val="00AE5CA8"/>
    <w:pPr>
      <w:spacing w:after="0" w:line="240" w:lineRule="auto"/>
      <w:ind w:left="720"/>
    </w:pPr>
    <w:rPr>
      <w:rFonts w:ascii="Calibri" w:hAnsi="Calibri" w:cs="Times New Roman"/>
      <w:lang w:val="sl-SI"/>
    </w:rPr>
  </w:style>
  <w:style w:type="paragraph" w:styleId="Sprechblasentext">
    <w:name w:val="Balloon Text"/>
    <w:basedOn w:val="Standard"/>
    <w:link w:val="SprechblasentextZchn"/>
    <w:uiPriority w:val="99"/>
    <w:semiHidden/>
    <w:unhideWhenUsed/>
    <w:rsid w:val="00F444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444EC"/>
    <w:rPr>
      <w:rFonts w:ascii="Segoe UI" w:hAnsi="Segoe UI" w:cs="Segoe UI"/>
      <w:sz w:val="18"/>
      <w:szCs w:val="18"/>
    </w:rPr>
  </w:style>
  <w:style w:type="paragraph" w:styleId="Kopfzeile">
    <w:name w:val="header"/>
    <w:basedOn w:val="Standard"/>
    <w:link w:val="KopfzeileZchn"/>
    <w:uiPriority w:val="99"/>
    <w:unhideWhenUsed/>
    <w:rsid w:val="00F444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44EC"/>
  </w:style>
  <w:style w:type="paragraph" w:styleId="Fuzeile">
    <w:name w:val="footer"/>
    <w:basedOn w:val="Standard"/>
    <w:link w:val="FuzeileZchn"/>
    <w:uiPriority w:val="99"/>
    <w:unhideWhenUsed/>
    <w:rsid w:val="00F444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4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39235">
      <w:bodyDiv w:val="1"/>
      <w:marLeft w:val="0"/>
      <w:marRight w:val="0"/>
      <w:marTop w:val="0"/>
      <w:marBottom w:val="0"/>
      <w:divBdr>
        <w:top w:val="none" w:sz="0" w:space="0" w:color="auto"/>
        <w:left w:val="none" w:sz="0" w:space="0" w:color="auto"/>
        <w:bottom w:val="none" w:sz="0" w:space="0" w:color="auto"/>
        <w:right w:val="none" w:sz="0" w:space="0" w:color="auto"/>
      </w:divBdr>
      <w:divsChild>
        <w:div w:id="355666004">
          <w:marLeft w:val="0"/>
          <w:marRight w:val="0"/>
          <w:marTop w:val="0"/>
          <w:marBottom w:val="0"/>
          <w:divBdr>
            <w:top w:val="none" w:sz="0" w:space="0" w:color="auto"/>
            <w:left w:val="none" w:sz="0" w:space="0" w:color="auto"/>
            <w:bottom w:val="none" w:sz="0" w:space="0" w:color="auto"/>
            <w:right w:val="none" w:sz="0" w:space="0" w:color="auto"/>
          </w:divBdr>
        </w:div>
        <w:div w:id="136536731">
          <w:marLeft w:val="0"/>
          <w:marRight w:val="0"/>
          <w:marTop w:val="0"/>
          <w:marBottom w:val="0"/>
          <w:divBdr>
            <w:top w:val="none" w:sz="0" w:space="0" w:color="auto"/>
            <w:left w:val="none" w:sz="0" w:space="0" w:color="auto"/>
            <w:bottom w:val="none" w:sz="0" w:space="0" w:color="auto"/>
            <w:right w:val="none" w:sz="0" w:space="0" w:color="auto"/>
          </w:divBdr>
        </w:div>
      </w:divsChild>
    </w:div>
    <w:div w:id="237054042">
      <w:bodyDiv w:val="1"/>
      <w:marLeft w:val="0"/>
      <w:marRight w:val="0"/>
      <w:marTop w:val="0"/>
      <w:marBottom w:val="0"/>
      <w:divBdr>
        <w:top w:val="none" w:sz="0" w:space="0" w:color="auto"/>
        <w:left w:val="none" w:sz="0" w:space="0" w:color="auto"/>
        <w:bottom w:val="none" w:sz="0" w:space="0" w:color="auto"/>
        <w:right w:val="none" w:sz="0" w:space="0" w:color="auto"/>
      </w:divBdr>
      <w:divsChild>
        <w:div w:id="605383853">
          <w:marLeft w:val="0"/>
          <w:marRight w:val="0"/>
          <w:marTop w:val="0"/>
          <w:marBottom w:val="0"/>
          <w:divBdr>
            <w:top w:val="none" w:sz="0" w:space="0" w:color="auto"/>
            <w:left w:val="none" w:sz="0" w:space="0" w:color="auto"/>
            <w:bottom w:val="none" w:sz="0" w:space="0" w:color="auto"/>
            <w:right w:val="none" w:sz="0" w:space="0" w:color="auto"/>
          </w:divBdr>
        </w:div>
        <w:div w:id="1427458554">
          <w:marLeft w:val="0"/>
          <w:marRight w:val="0"/>
          <w:marTop w:val="0"/>
          <w:marBottom w:val="0"/>
          <w:divBdr>
            <w:top w:val="none" w:sz="0" w:space="0" w:color="auto"/>
            <w:left w:val="none" w:sz="0" w:space="0" w:color="auto"/>
            <w:bottom w:val="none" w:sz="0" w:space="0" w:color="auto"/>
            <w:right w:val="none" w:sz="0" w:space="0" w:color="auto"/>
          </w:divBdr>
        </w:div>
      </w:divsChild>
    </w:div>
    <w:div w:id="346293878">
      <w:bodyDiv w:val="1"/>
      <w:marLeft w:val="0"/>
      <w:marRight w:val="0"/>
      <w:marTop w:val="0"/>
      <w:marBottom w:val="0"/>
      <w:divBdr>
        <w:top w:val="none" w:sz="0" w:space="0" w:color="auto"/>
        <w:left w:val="none" w:sz="0" w:space="0" w:color="auto"/>
        <w:bottom w:val="none" w:sz="0" w:space="0" w:color="auto"/>
        <w:right w:val="none" w:sz="0" w:space="0" w:color="auto"/>
      </w:divBdr>
      <w:divsChild>
        <w:div w:id="721565412">
          <w:marLeft w:val="0"/>
          <w:marRight w:val="0"/>
          <w:marTop w:val="0"/>
          <w:marBottom w:val="0"/>
          <w:divBdr>
            <w:top w:val="none" w:sz="0" w:space="0" w:color="auto"/>
            <w:left w:val="none" w:sz="0" w:space="0" w:color="auto"/>
            <w:bottom w:val="none" w:sz="0" w:space="0" w:color="auto"/>
            <w:right w:val="none" w:sz="0" w:space="0" w:color="auto"/>
          </w:divBdr>
        </w:div>
        <w:div w:id="1469202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80DEA-180B-4D2C-97D4-2127F472A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3822</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Sturm</dc:creator>
  <cp:lastModifiedBy>Katrin</cp:lastModifiedBy>
  <cp:revision>6</cp:revision>
  <cp:lastPrinted>2016-08-14T07:58:00Z</cp:lastPrinted>
  <dcterms:created xsi:type="dcterms:W3CDTF">2016-08-14T07:33:00Z</dcterms:created>
  <dcterms:modified xsi:type="dcterms:W3CDTF">2016-08-14T08:13:00Z</dcterms:modified>
</cp:coreProperties>
</file>