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6B" w:rsidRDefault="00530C6B" w:rsidP="005343AD">
      <w:pPr>
        <w:spacing w:after="0" w:line="360" w:lineRule="auto"/>
        <w:ind w:right="259"/>
        <w:jc w:val="center"/>
        <w:rPr>
          <w:rFonts w:ascii="Calibri" w:hAnsi="Calibri"/>
          <w:b/>
          <w:color w:val="212121"/>
          <w:sz w:val="32"/>
          <w:szCs w:val="32"/>
          <w:shd w:val="clear" w:color="auto" w:fill="FFFFFF"/>
          <w:lang w:val="en-US"/>
        </w:rPr>
      </w:pPr>
    </w:p>
    <w:p w:rsidR="00530C6B" w:rsidRDefault="00906220" w:rsidP="005343AD">
      <w:pPr>
        <w:spacing w:after="0" w:line="360" w:lineRule="auto"/>
        <w:ind w:right="259"/>
        <w:jc w:val="center"/>
        <w:rPr>
          <w:rFonts w:ascii="Calibri" w:hAnsi="Calibri"/>
          <w:b/>
          <w:color w:val="212121"/>
          <w:sz w:val="32"/>
          <w:szCs w:val="32"/>
          <w:shd w:val="clear" w:color="auto" w:fill="FFFFFF"/>
          <w:lang w:val="en-US"/>
        </w:rPr>
      </w:pPr>
      <w:r w:rsidRPr="005343AD">
        <w:rPr>
          <w:rFonts w:ascii="Calibri" w:hAnsi="Calibri"/>
          <w:b/>
          <w:color w:val="212121"/>
          <w:sz w:val="32"/>
          <w:szCs w:val="32"/>
          <w:shd w:val="clear" w:color="auto" w:fill="FFFFFF"/>
          <w:lang w:val="en-US"/>
        </w:rPr>
        <w:t xml:space="preserve">Experience providing guarantees </w:t>
      </w:r>
      <w:r w:rsidR="000C6B80">
        <w:rPr>
          <w:rFonts w:ascii="Calibri" w:hAnsi="Calibri"/>
          <w:b/>
          <w:color w:val="212121"/>
          <w:sz w:val="32"/>
          <w:szCs w:val="32"/>
          <w:shd w:val="clear" w:color="auto" w:fill="FFFFFF"/>
          <w:lang w:val="en-US"/>
        </w:rPr>
        <w:t>for</w:t>
      </w:r>
      <w:r w:rsidRPr="005343AD">
        <w:rPr>
          <w:rFonts w:ascii="Calibri" w:hAnsi="Calibri"/>
          <w:b/>
          <w:color w:val="212121"/>
          <w:sz w:val="32"/>
          <w:szCs w:val="32"/>
          <w:shd w:val="clear" w:color="auto" w:fill="FFFFFF"/>
          <w:lang w:val="en-US"/>
        </w:rPr>
        <w:t xml:space="preserve"> </w:t>
      </w:r>
    </w:p>
    <w:p w:rsidR="00211228" w:rsidRDefault="000C6B80" w:rsidP="005343AD">
      <w:pPr>
        <w:spacing w:after="0" w:line="360" w:lineRule="auto"/>
        <w:ind w:right="259"/>
        <w:jc w:val="center"/>
        <w:rPr>
          <w:rFonts w:ascii="Calibri" w:hAnsi="Calibri"/>
          <w:b/>
          <w:color w:val="212121"/>
          <w:sz w:val="32"/>
          <w:szCs w:val="32"/>
          <w:shd w:val="clear" w:color="auto" w:fill="FFFFFF"/>
          <w:lang w:val="en-US"/>
        </w:rPr>
      </w:pPr>
      <w:r>
        <w:rPr>
          <w:rFonts w:ascii="Calibri" w:hAnsi="Calibri"/>
          <w:b/>
          <w:color w:val="212121"/>
          <w:sz w:val="32"/>
          <w:szCs w:val="32"/>
          <w:shd w:val="clear" w:color="auto" w:fill="FFFFFF"/>
          <w:lang w:val="en-US"/>
        </w:rPr>
        <w:t xml:space="preserve">leasing / </w:t>
      </w:r>
      <w:bookmarkStart w:id="0" w:name="_GoBack"/>
      <w:bookmarkEnd w:id="0"/>
      <w:r w:rsidR="00906220" w:rsidRPr="005343AD">
        <w:rPr>
          <w:rFonts w:ascii="Calibri" w:hAnsi="Calibri"/>
          <w:b/>
          <w:color w:val="212121"/>
          <w:sz w:val="32"/>
          <w:szCs w:val="32"/>
          <w:shd w:val="clear" w:color="auto" w:fill="FFFFFF"/>
          <w:lang w:val="en-US"/>
        </w:rPr>
        <w:t>factoring and / or bonds:</w:t>
      </w:r>
    </w:p>
    <w:p w:rsidR="005343AD" w:rsidRPr="005343AD" w:rsidRDefault="005343AD" w:rsidP="005343AD">
      <w:pPr>
        <w:spacing w:after="0" w:line="360" w:lineRule="auto"/>
        <w:ind w:right="259"/>
        <w:jc w:val="center"/>
        <w:rPr>
          <w:rFonts w:ascii="Calibri" w:hAnsi="Calibri"/>
          <w:b/>
          <w:color w:val="212121"/>
          <w:sz w:val="32"/>
          <w:szCs w:val="32"/>
          <w:shd w:val="clear" w:color="auto" w:fill="FFFFFF"/>
          <w:lang w:val="en-US"/>
        </w:rPr>
      </w:pPr>
    </w:p>
    <w:tbl>
      <w:tblPr>
        <w:tblStyle w:val="Tabellenraster"/>
        <w:tblW w:w="0" w:type="auto"/>
        <w:tblLook w:val="04A0" w:firstRow="1" w:lastRow="0" w:firstColumn="1" w:lastColumn="0" w:noHBand="0" w:noVBand="1"/>
      </w:tblPr>
      <w:tblGrid>
        <w:gridCol w:w="2538"/>
        <w:gridCol w:w="6524"/>
      </w:tblGrid>
      <w:tr w:rsidR="00906220" w:rsidRPr="000C6B80" w:rsidTr="005343AD">
        <w:tc>
          <w:tcPr>
            <w:tcW w:w="2538" w:type="dxa"/>
          </w:tcPr>
          <w:p w:rsidR="005343AD" w:rsidRPr="00530C6B" w:rsidRDefault="005343AD" w:rsidP="00CD2A87">
            <w:pPr>
              <w:pStyle w:val="Listenabsatz"/>
              <w:numPr>
                <w:ilvl w:val="0"/>
                <w:numId w:val="1"/>
              </w:numPr>
              <w:rPr>
                <w:rFonts w:cs="Times New Roman"/>
                <w:b/>
                <w:sz w:val="24"/>
                <w:szCs w:val="24"/>
                <w:lang w:val="en-US"/>
              </w:rPr>
            </w:pPr>
            <w:r w:rsidRPr="00530C6B">
              <w:rPr>
                <w:rFonts w:cs="Times New Roman"/>
                <w:b/>
                <w:sz w:val="24"/>
                <w:szCs w:val="24"/>
                <w:lang w:val="en-US"/>
              </w:rPr>
              <w:t>SIAGI</w:t>
            </w:r>
          </w:p>
          <w:p w:rsidR="00BF6224" w:rsidRPr="00530C6B" w:rsidRDefault="00CD2A87" w:rsidP="005343AD">
            <w:pPr>
              <w:pStyle w:val="Listenabsatz"/>
              <w:rPr>
                <w:rFonts w:cs="Times New Roman"/>
                <w:b/>
                <w:sz w:val="24"/>
                <w:szCs w:val="24"/>
                <w:lang w:val="en-US"/>
              </w:rPr>
            </w:pPr>
            <w:r w:rsidRPr="00530C6B">
              <w:rPr>
                <w:rFonts w:cs="Times New Roman"/>
                <w:b/>
                <w:sz w:val="24"/>
                <w:szCs w:val="24"/>
                <w:lang w:val="en-US"/>
              </w:rPr>
              <w:t>France</w:t>
            </w:r>
          </w:p>
        </w:tc>
        <w:tc>
          <w:tcPr>
            <w:tcW w:w="6524" w:type="dxa"/>
          </w:tcPr>
          <w:p w:rsidR="00544EC8" w:rsidRDefault="00CD2A87" w:rsidP="00BB4A29">
            <w:pPr>
              <w:shd w:val="clear" w:color="auto" w:fill="FFFFFF"/>
              <w:jc w:val="both"/>
              <w:rPr>
                <w:rFonts w:ascii="Calibri" w:eastAsia="Times New Roman" w:hAnsi="Calibri" w:cs="Segoe UI"/>
                <w:color w:val="1F497D"/>
                <w:sz w:val="24"/>
                <w:szCs w:val="24"/>
                <w:lang w:val="en-GB" w:eastAsia="fr-BE"/>
              </w:rPr>
            </w:pPr>
            <w:r w:rsidRPr="00530C6B">
              <w:rPr>
                <w:rFonts w:ascii="Calibri" w:eastAsia="Times New Roman" w:hAnsi="Calibri" w:cs="Segoe UI"/>
                <w:color w:val="1F497D"/>
                <w:sz w:val="24"/>
                <w:szCs w:val="24"/>
                <w:lang w:val="en-GB" w:eastAsia="fr-BE"/>
              </w:rPr>
              <w:t xml:space="preserve">SIAGI </w:t>
            </w:r>
            <w:r w:rsidR="00BB4A29" w:rsidRPr="00530C6B">
              <w:rPr>
                <w:rFonts w:ascii="Calibri" w:eastAsia="Times New Roman" w:hAnsi="Calibri" w:cs="Segoe UI"/>
                <w:color w:val="1F497D"/>
                <w:sz w:val="24"/>
                <w:szCs w:val="24"/>
                <w:lang w:val="en-GB" w:eastAsia="fr-BE"/>
              </w:rPr>
              <w:t>provides guarantees for</w:t>
            </w:r>
            <w:r w:rsidR="00F87A3B" w:rsidRPr="00530C6B">
              <w:rPr>
                <w:rFonts w:ascii="Calibri" w:eastAsia="Times New Roman" w:hAnsi="Calibri" w:cs="Segoe UI"/>
                <w:color w:val="1F497D"/>
                <w:sz w:val="24"/>
                <w:szCs w:val="24"/>
                <w:lang w:val="en-GB" w:eastAsia="fr-BE"/>
              </w:rPr>
              <w:t xml:space="preserve"> leasing </w:t>
            </w:r>
            <w:r w:rsidR="00544EC8" w:rsidRPr="00530C6B">
              <w:rPr>
                <w:rFonts w:ascii="Calibri" w:eastAsia="Times New Roman" w:hAnsi="Calibri" w:cs="Segoe UI"/>
                <w:color w:val="1F497D"/>
                <w:sz w:val="24"/>
                <w:szCs w:val="24"/>
                <w:lang w:val="en-GB" w:eastAsia="fr-BE"/>
              </w:rPr>
              <w:t xml:space="preserve">operations </w:t>
            </w:r>
            <w:r w:rsidR="00BB4A29" w:rsidRPr="00530C6B">
              <w:rPr>
                <w:rFonts w:ascii="Calibri" w:eastAsia="Times New Roman" w:hAnsi="Calibri" w:cs="Segoe UI"/>
                <w:color w:val="1F497D"/>
                <w:sz w:val="24"/>
                <w:szCs w:val="24"/>
                <w:lang w:val="en-GB" w:eastAsia="fr-BE"/>
              </w:rPr>
              <w:t>of</w:t>
            </w:r>
            <w:r w:rsidR="00544EC8" w:rsidRPr="00530C6B">
              <w:rPr>
                <w:rFonts w:ascii="Calibri" w:eastAsia="Times New Roman" w:hAnsi="Calibri" w:cs="Segoe UI"/>
                <w:color w:val="1F497D"/>
                <w:sz w:val="24"/>
                <w:szCs w:val="24"/>
                <w:lang w:val="en-GB" w:eastAsia="fr-BE"/>
              </w:rPr>
              <w:t xml:space="preserve"> leasing companies </w:t>
            </w:r>
            <w:r w:rsidR="00F87A3B" w:rsidRPr="00530C6B">
              <w:rPr>
                <w:rFonts w:ascii="Calibri" w:eastAsia="Times New Roman" w:hAnsi="Calibri" w:cs="Segoe UI"/>
                <w:color w:val="1F497D"/>
                <w:sz w:val="24"/>
                <w:szCs w:val="24"/>
                <w:lang w:val="en-GB" w:eastAsia="fr-BE"/>
              </w:rPr>
              <w:t>that are owned by banks</w:t>
            </w:r>
            <w:r w:rsidR="00544EC8" w:rsidRPr="00530C6B">
              <w:rPr>
                <w:rFonts w:ascii="Calibri" w:eastAsia="Times New Roman" w:hAnsi="Calibri" w:cs="Segoe UI"/>
                <w:color w:val="1F497D"/>
                <w:sz w:val="24"/>
                <w:szCs w:val="24"/>
                <w:lang w:val="en-GB" w:eastAsia="fr-BE"/>
              </w:rPr>
              <w:t>.</w:t>
            </w:r>
            <w:r w:rsidR="00556930">
              <w:rPr>
                <w:rFonts w:ascii="Calibri" w:eastAsia="Times New Roman" w:hAnsi="Calibri" w:cs="Segoe UI"/>
                <w:color w:val="1F497D"/>
                <w:sz w:val="24"/>
                <w:szCs w:val="24"/>
                <w:lang w:val="en-GB" w:eastAsia="fr-BE"/>
              </w:rPr>
              <w:t xml:space="preserve"> </w:t>
            </w:r>
            <w:r w:rsidR="00530C6B" w:rsidRPr="00530C6B">
              <w:rPr>
                <w:rFonts w:ascii="Calibri" w:eastAsia="Times New Roman" w:hAnsi="Calibri" w:cs="Segoe UI"/>
                <w:color w:val="1F497D"/>
                <w:sz w:val="24"/>
                <w:szCs w:val="24"/>
                <w:lang w:val="en-GB" w:eastAsia="fr-BE"/>
              </w:rPr>
              <w:t>Actually,</w:t>
            </w:r>
            <w:r w:rsidR="00544EC8" w:rsidRPr="00530C6B">
              <w:rPr>
                <w:rFonts w:ascii="Calibri" w:eastAsia="Times New Roman" w:hAnsi="Calibri" w:cs="Segoe UI"/>
                <w:color w:val="1F497D"/>
                <w:sz w:val="24"/>
                <w:szCs w:val="24"/>
                <w:lang w:val="en-GB" w:eastAsia="fr-BE"/>
              </w:rPr>
              <w:t xml:space="preserve"> the bank is </w:t>
            </w:r>
            <w:r w:rsidR="00F87A3B" w:rsidRPr="00530C6B">
              <w:rPr>
                <w:rFonts w:ascii="Calibri" w:eastAsia="Times New Roman" w:hAnsi="Calibri" w:cs="Segoe UI"/>
                <w:color w:val="1F497D"/>
                <w:sz w:val="24"/>
                <w:szCs w:val="24"/>
                <w:lang w:val="en-GB" w:eastAsia="fr-BE"/>
              </w:rPr>
              <w:t>guaranteeing</w:t>
            </w:r>
            <w:r w:rsidR="00544EC8" w:rsidRPr="00530C6B">
              <w:rPr>
                <w:rFonts w:ascii="Calibri" w:eastAsia="Times New Roman" w:hAnsi="Calibri" w:cs="Segoe UI"/>
                <w:color w:val="1F497D"/>
                <w:sz w:val="24"/>
                <w:szCs w:val="24"/>
                <w:lang w:val="en-GB" w:eastAsia="fr-BE"/>
              </w:rPr>
              <w:t xml:space="preserve"> the leaser and SIAGI is sharing the risk with the bank.</w:t>
            </w:r>
          </w:p>
          <w:p w:rsidR="00556930" w:rsidRPr="00530C6B" w:rsidRDefault="00556930" w:rsidP="00BB4A29">
            <w:pPr>
              <w:shd w:val="clear" w:color="auto" w:fill="FFFFFF"/>
              <w:jc w:val="both"/>
              <w:rPr>
                <w:rFonts w:ascii="Calibri" w:eastAsia="Times New Roman" w:hAnsi="Calibri" w:cs="Segoe UI"/>
                <w:color w:val="1F497D"/>
                <w:sz w:val="24"/>
                <w:szCs w:val="24"/>
                <w:lang w:val="en-GB" w:eastAsia="fr-BE"/>
              </w:rPr>
            </w:pPr>
          </w:p>
          <w:p w:rsidR="00972828" w:rsidRPr="00530C6B" w:rsidRDefault="00F87A3B" w:rsidP="00530C6B">
            <w:pPr>
              <w:shd w:val="clear" w:color="auto" w:fill="FFFFFF"/>
              <w:jc w:val="both"/>
              <w:rPr>
                <w:rFonts w:ascii="Calibri" w:eastAsia="Times New Roman" w:hAnsi="Calibri" w:cs="Segoe UI"/>
                <w:color w:val="1F497D"/>
                <w:sz w:val="24"/>
                <w:szCs w:val="24"/>
                <w:lang w:val="en-GB" w:eastAsia="fr-BE"/>
              </w:rPr>
            </w:pPr>
            <w:r w:rsidRPr="00530C6B">
              <w:rPr>
                <w:rFonts w:ascii="Calibri" w:eastAsia="Times New Roman" w:hAnsi="Calibri" w:cs="Segoe UI"/>
                <w:color w:val="1F497D"/>
                <w:sz w:val="24"/>
                <w:szCs w:val="24"/>
                <w:lang w:val="en-GB" w:eastAsia="fr-BE"/>
              </w:rPr>
              <w:t xml:space="preserve">SIAGI is not collaborating with independent leasing companies (if there </w:t>
            </w:r>
            <w:r w:rsidR="00530C6B" w:rsidRPr="00530C6B">
              <w:rPr>
                <w:rFonts w:ascii="Calibri" w:eastAsia="Times New Roman" w:hAnsi="Calibri" w:cs="Segoe UI"/>
                <w:color w:val="1F497D"/>
                <w:sz w:val="24"/>
                <w:szCs w:val="24"/>
                <w:lang w:val="en-GB" w:eastAsia="fr-BE"/>
              </w:rPr>
              <w:t>remain</w:t>
            </w:r>
            <w:r w:rsidRPr="00530C6B">
              <w:rPr>
                <w:rFonts w:ascii="Calibri" w:eastAsia="Times New Roman" w:hAnsi="Calibri" w:cs="Segoe UI"/>
                <w:color w:val="1F497D"/>
                <w:sz w:val="24"/>
                <w:szCs w:val="24"/>
                <w:lang w:val="en-GB" w:eastAsia="fr-BE"/>
              </w:rPr>
              <w:t xml:space="preserve"> any)</w:t>
            </w:r>
          </w:p>
          <w:p w:rsidR="005343AD" w:rsidRPr="00530C6B" w:rsidRDefault="005343AD" w:rsidP="00BB4A29">
            <w:pPr>
              <w:shd w:val="clear" w:color="auto" w:fill="FFFFFF"/>
              <w:jc w:val="both"/>
              <w:rPr>
                <w:rFonts w:ascii="Calibri" w:eastAsia="Times New Roman" w:hAnsi="Calibri" w:cs="Segoe UI"/>
                <w:color w:val="1F497D"/>
                <w:sz w:val="24"/>
                <w:szCs w:val="24"/>
                <w:lang w:val="en-GB" w:eastAsia="fr-BE"/>
              </w:rPr>
            </w:pPr>
          </w:p>
        </w:tc>
      </w:tr>
      <w:tr w:rsidR="00906220" w:rsidRPr="000C6B80" w:rsidTr="005343AD">
        <w:tc>
          <w:tcPr>
            <w:tcW w:w="2538" w:type="dxa"/>
          </w:tcPr>
          <w:p w:rsidR="005343AD" w:rsidRPr="00530C6B" w:rsidRDefault="005343AD" w:rsidP="00CD2A87">
            <w:pPr>
              <w:pStyle w:val="Listenabsatz"/>
              <w:numPr>
                <w:ilvl w:val="0"/>
                <w:numId w:val="1"/>
              </w:numPr>
              <w:rPr>
                <w:rFonts w:cs="Times New Roman"/>
                <w:b/>
                <w:sz w:val="24"/>
                <w:szCs w:val="24"/>
                <w:lang w:val="en-US"/>
              </w:rPr>
            </w:pPr>
            <w:r w:rsidRPr="00530C6B">
              <w:rPr>
                <w:rFonts w:cs="Times New Roman"/>
                <w:b/>
                <w:sz w:val="24"/>
                <w:szCs w:val="24"/>
                <w:lang w:val="en-US"/>
              </w:rPr>
              <w:t>FGCR</w:t>
            </w:r>
          </w:p>
          <w:p w:rsidR="00BF6224" w:rsidRPr="00530C6B" w:rsidRDefault="00CD2A87" w:rsidP="005343AD">
            <w:pPr>
              <w:pStyle w:val="Listenabsatz"/>
              <w:rPr>
                <w:rFonts w:cs="Times New Roman"/>
                <w:b/>
                <w:sz w:val="24"/>
                <w:szCs w:val="24"/>
                <w:lang w:val="en-US"/>
              </w:rPr>
            </w:pPr>
            <w:r w:rsidRPr="00530C6B">
              <w:rPr>
                <w:rFonts w:cs="Times New Roman"/>
                <w:b/>
                <w:sz w:val="24"/>
                <w:szCs w:val="24"/>
                <w:lang w:val="en-US"/>
              </w:rPr>
              <w:t>Romania</w:t>
            </w:r>
          </w:p>
          <w:p w:rsidR="005343AD" w:rsidRPr="00530C6B" w:rsidRDefault="005343AD" w:rsidP="005343AD">
            <w:pPr>
              <w:pStyle w:val="Listenabsatz"/>
              <w:rPr>
                <w:rFonts w:cs="Times New Roman"/>
                <w:b/>
                <w:sz w:val="24"/>
                <w:szCs w:val="24"/>
                <w:lang w:val="en-US"/>
              </w:rPr>
            </w:pPr>
          </w:p>
        </w:tc>
        <w:tc>
          <w:tcPr>
            <w:tcW w:w="6524" w:type="dxa"/>
          </w:tcPr>
          <w:p w:rsidR="00BF6224" w:rsidRPr="00530C6B" w:rsidRDefault="00CD2A87" w:rsidP="00BB4A29">
            <w:pPr>
              <w:shd w:val="clear" w:color="auto" w:fill="FFFFFF"/>
              <w:jc w:val="both"/>
              <w:rPr>
                <w:rFonts w:ascii="Calibri" w:eastAsia="Times New Roman" w:hAnsi="Calibri" w:cs="Segoe UI"/>
                <w:color w:val="1F497D"/>
                <w:sz w:val="24"/>
                <w:szCs w:val="24"/>
                <w:lang w:val="en-GB" w:eastAsia="fr-BE"/>
              </w:rPr>
            </w:pPr>
            <w:r w:rsidRPr="00530C6B">
              <w:rPr>
                <w:rFonts w:ascii="Calibri" w:eastAsia="Times New Roman" w:hAnsi="Calibri" w:cs="Segoe UI"/>
                <w:color w:val="1F497D"/>
                <w:sz w:val="24"/>
                <w:szCs w:val="24"/>
                <w:lang w:val="en-GB" w:eastAsia="fr-BE"/>
              </w:rPr>
              <w:t>Doe</w:t>
            </w:r>
            <w:r w:rsidR="00645CD7" w:rsidRPr="00530C6B">
              <w:rPr>
                <w:rFonts w:ascii="Calibri" w:eastAsia="Times New Roman" w:hAnsi="Calibri" w:cs="Segoe UI"/>
                <w:color w:val="1F497D"/>
                <w:sz w:val="24"/>
                <w:szCs w:val="24"/>
                <w:lang w:val="en-GB" w:eastAsia="fr-BE"/>
              </w:rPr>
              <w:t>s not have any experience related</w:t>
            </w:r>
            <w:r w:rsidRPr="00530C6B">
              <w:rPr>
                <w:rFonts w:ascii="Calibri" w:eastAsia="Times New Roman" w:hAnsi="Calibri" w:cs="Segoe UI"/>
                <w:color w:val="1F497D"/>
                <w:sz w:val="24"/>
                <w:szCs w:val="24"/>
                <w:lang w:val="en-GB" w:eastAsia="fr-BE"/>
              </w:rPr>
              <w:t xml:space="preserve"> to th</w:t>
            </w:r>
            <w:r w:rsidR="00343A52" w:rsidRPr="00530C6B">
              <w:rPr>
                <w:rFonts w:ascii="Calibri" w:eastAsia="Times New Roman" w:hAnsi="Calibri" w:cs="Segoe UI"/>
                <w:color w:val="1F497D"/>
                <w:sz w:val="24"/>
                <w:szCs w:val="24"/>
                <w:lang w:val="en-GB" w:eastAsia="fr-BE"/>
              </w:rPr>
              <w:t>is</w:t>
            </w:r>
            <w:r w:rsidRPr="00530C6B">
              <w:rPr>
                <w:rFonts w:ascii="Calibri" w:eastAsia="Times New Roman" w:hAnsi="Calibri" w:cs="Segoe UI"/>
                <w:color w:val="1F497D"/>
                <w:sz w:val="24"/>
                <w:szCs w:val="24"/>
                <w:lang w:val="en-GB" w:eastAsia="fr-BE"/>
              </w:rPr>
              <w:t xml:space="preserve"> topic.</w:t>
            </w:r>
          </w:p>
          <w:p w:rsidR="005343AD" w:rsidRPr="00530C6B" w:rsidRDefault="005343AD" w:rsidP="00BB4A29">
            <w:pPr>
              <w:shd w:val="clear" w:color="auto" w:fill="FFFFFF"/>
              <w:jc w:val="both"/>
              <w:rPr>
                <w:rFonts w:ascii="Calibri" w:eastAsia="Times New Roman" w:hAnsi="Calibri" w:cs="Segoe UI"/>
                <w:color w:val="1F497D"/>
                <w:sz w:val="24"/>
                <w:szCs w:val="24"/>
                <w:lang w:val="en-GB" w:eastAsia="fr-BE"/>
              </w:rPr>
            </w:pPr>
          </w:p>
        </w:tc>
      </w:tr>
      <w:tr w:rsidR="00906220" w:rsidRPr="000C6B80" w:rsidTr="005343AD">
        <w:tc>
          <w:tcPr>
            <w:tcW w:w="2538" w:type="dxa"/>
          </w:tcPr>
          <w:p w:rsidR="005343AD" w:rsidRPr="00530C6B" w:rsidRDefault="005343AD" w:rsidP="00CD2A87">
            <w:pPr>
              <w:pStyle w:val="Listenabsatz"/>
              <w:numPr>
                <w:ilvl w:val="0"/>
                <w:numId w:val="1"/>
              </w:numPr>
              <w:rPr>
                <w:rFonts w:cs="Times New Roman"/>
                <w:b/>
                <w:sz w:val="24"/>
                <w:szCs w:val="24"/>
                <w:lang w:val="en-US"/>
              </w:rPr>
            </w:pPr>
            <w:r w:rsidRPr="00530C6B">
              <w:rPr>
                <w:rFonts w:cs="Times New Roman"/>
                <w:b/>
                <w:sz w:val="24"/>
                <w:szCs w:val="24"/>
                <w:lang w:val="en-US"/>
              </w:rPr>
              <w:t>CMZRB</w:t>
            </w:r>
          </w:p>
          <w:p w:rsidR="00BF6224" w:rsidRPr="00530C6B" w:rsidRDefault="00CD2A87" w:rsidP="005343AD">
            <w:pPr>
              <w:pStyle w:val="Listenabsatz"/>
              <w:rPr>
                <w:rFonts w:cs="Times New Roman"/>
                <w:b/>
                <w:sz w:val="24"/>
                <w:szCs w:val="24"/>
                <w:lang w:val="en-US"/>
              </w:rPr>
            </w:pPr>
            <w:r w:rsidRPr="00530C6B">
              <w:rPr>
                <w:rFonts w:cs="Times New Roman"/>
                <w:b/>
                <w:sz w:val="24"/>
                <w:szCs w:val="24"/>
                <w:lang w:val="en-US"/>
              </w:rPr>
              <w:t>Czech Republic</w:t>
            </w:r>
          </w:p>
          <w:p w:rsidR="005343AD" w:rsidRPr="00530C6B" w:rsidRDefault="005343AD" w:rsidP="005343AD">
            <w:pPr>
              <w:pStyle w:val="Listenabsatz"/>
              <w:rPr>
                <w:rFonts w:cs="Times New Roman"/>
                <w:b/>
                <w:sz w:val="24"/>
                <w:szCs w:val="24"/>
                <w:lang w:val="en-US"/>
              </w:rPr>
            </w:pPr>
          </w:p>
        </w:tc>
        <w:tc>
          <w:tcPr>
            <w:tcW w:w="6524" w:type="dxa"/>
          </w:tcPr>
          <w:p w:rsidR="00BF6224" w:rsidRPr="00530C6B" w:rsidRDefault="00CD2A87" w:rsidP="00BB4A29">
            <w:pPr>
              <w:shd w:val="clear" w:color="auto" w:fill="FFFFFF"/>
              <w:jc w:val="both"/>
              <w:rPr>
                <w:rFonts w:ascii="Calibri" w:eastAsia="Times New Roman" w:hAnsi="Calibri" w:cs="Segoe UI"/>
                <w:color w:val="1F497D"/>
                <w:sz w:val="24"/>
                <w:szCs w:val="24"/>
                <w:lang w:val="en-GB" w:eastAsia="fr-BE"/>
              </w:rPr>
            </w:pPr>
            <w:r w:rsidRPr="00530C6B">
              <w:rPr>
                <w:rFonts w:ascii="Calibri" w:eastAsia="Times New Roman" w:hAnsi="Calibri" w:cs="Segoe UI"/>
                <w:color w:val="1F497D"/>
                <w:sz w:val="24"/>
                <w:szCs w:val="24"/>
                <w:lang w:val="en-GB" w:eastAsia="fr-BE"/>
              </w:rPr>
              <w:t>CMZRB does not provide guarantees on factoring or bonds.</w:t>
            </w:r>
          </w:p>
        </w:tc>
      </w:tr>
      <w:tr w:rsidR="00906220" w:rsidRPr="000C6B80" w:rsidTr="005343AD">
        <w:tc>
          <w:tcPr>
            <w:tcW w:w="2538" w:type="dxa"/>
          </w:tcPr>
          <w:p w:rsidR="005343AD" w:rsidRPr="00530C6B" w:rsidRDefault="005343AD" w:rsidP="00CD2A87">
            <w:pPr>
              <w:pStyle w:val="Listenabsatz"/>
              <w:numPr>
                <w:ilvl w:val="0"/>
                <w:numId w:val="1"/>
              </w:numPr>
              <w:rPr>
                <w:rFonts w:cs="Times New Roman"/>
                <w:b/>
                <w:sz w:val="24"/>
                <w:szCs w:val="24"/>
                <w:lang w:val="en-US"/>
              </w:rPr>
            </w:pPr>
            <w:r w:rsidRPr="00530C6B">
              <w:rPr>
                <w:rFonts w:cs="Times New Roman"/>
                <w:b/>
                <w:sz w:val="24"/>
                <w:szCs w:val="24"/>
                <w:lang w:val="en-US"/>
              </w:rPr>
              <w:t>ACGF</w:t>
            </w:r>
          </w:p>
          <w:p w:rsidR="00BF6224" w:rsidRPr="00530C6B" w:rsidRDefault="00BA66AA" w:rsidP="005343AD">
            <w:pPr>
              <w:pStyle w:val="Listenabsatz"/>
              <w:rPr>
                <w:rFonts w:cs="Times New Roman"/>
                <w:b/>
                <w:sz w:val="24"/>
                <w:szCs w:val="24"/>
                <w:lang w:val="en-US"/>
              </w:rPr>
            </w:pPr>
            <w:r w:rsidRPr="00530C6B">
              <w:rPr>
                <w:rFonts w:cs="Times New Roman"/>
                <w:b/>
                <w:sz w:val="24"/>
                <w:szCs w:val="24"/>
                <w:lang w:val="en-US"/>
              </w:rPr>
              <w:t>Lithuania</w:t>
            </w:r>
          </w:p>
          <w:p w:rsidR="005343AD" w:rsidRPr="00530C6B" w:rsidRDefault="005343AD" w:rsidP="005343AD">
            <w:pPr>
              <w:pStyle w:val="Listenabsatz"/>
              <w:rPr>
                <w:rFonts w:cs="Times New Roman"/>
                <w:b/>
                <w:sz w:val="24"/>
                <w:szCs w:val="24"/>
                <w:lang w:val="en-US"/>
              </w:rPr>
            </w:pPr>
          </w:p>
        </w:tc>
        <w:tc>
          <w:tcPr>
            <w:tcW w:w="6524" w:type="dxa"/>
          </w:tcPr>
          <w:p w:rsidR="00FC6315" w:rsidRPr="00530C6B" w:rsidRDefault="00FC6315" w:rsidP="00BB4A29">
            <w:pPr>
              <w:jc w:val="both"/>
              <w:rPr>
                <w:sz w:val="24"/>
                <w:szCs w:val="24"/>
                <w:lang w:val="lt-LT"/>
              </w:rPr>
            </w:pPr>
            <w:r w:rsidRPr="00530C6B">
              <w:rPr>
                <w:color w:val="1F497D"/>
                <w:sz w:val="24"/>
                <w:szCs w:val="24"/>
                <w:lang w:val="lt-LT"/>
              </w:rPr>
              <w:t xml:space="preserve">Agricultural Credit Guarantte Fund (ACGF), Lithuania - does not issue special guarantees for energy efficiency projects, but ACGF can issue loan guarantees for various SMEs and farmers investment projects which may have an energy efficiency component. </w:t>
            </w:r>
          </w:p>
          <w:p w:rsidR="00FC6315" w:rsidRPr="00530C6B" w:rsidRDefault="00FC6315" w:rsidP="00BB4A29">
            <w:pPr>
              <w:jc w:val="both"/>
              <w:rPr>
                <w:sz w:val="24"/>
                <w:szCs w:val="24"/>
                <w:lang w:val="lt-LT"/>
              </w:rPr>
            </w:pPr>
            <w:r w:rsidRPr="00530C6B">
              <w:rPr>
                <w:color w:val="1F497D"/>
                <w:sz w:val="24"/>
                <w:szCs w:val="24"/>
                <w:lang w:val="lt-LT"/>
              </w:rPr>
              <w:t> </w:t>
            </w:r>
          </w:p>
          <w:p w:rsidR="00BF6224" w:rsidRPr="00530C6B" w:rsidRDefault="00FC6315" w:rsidP="00BB4A29">
            <w:pPr>
              <w:shd w:val="clear" w:color="auto" w:fill="FFFFFF"/>
              <w:jc w:val="both"/>
              <w:rPr>
                <w:color w:val="1F497D"/>
                <w:sz w:val="24"/>
                <w:szCs w:val="24"/>
                <w:lang w:val="lt-LT"/>
              </w:rPr>
            </w:pPr>
            <w:r w:rsidRPr="00530C6B">
              <w:rPr>
                <w:color w:val="1F497D"/>
                <w:sz w:val="24"/>
                <w:szCs w:val="24"/>
                <w:lang w:val="lt-LT"/>
              </w:rPr>
              <w:t>ACGF does not issue guarantees for factoring and bonds.</w:t>
            </w:r>
          </w:p>
          <w:p w:rsidR="00FC6315" w:rsidRPr="00530C6B" w:rsidRDefault="00FC6315" w:rsidP="00BB4A29">
            <w:pPr>
              <w:shd w:val="clear" w:color="auto" w:fill="FFFFFF"/>
              <w:jc w:val="both"/>
              <w:rPr>
                <w:rFonts w:ascii="Calibri" w:eastAsia="Times New Roman" w:hAnsi="Calibri" w:cs="Segoe UI"/>
                <w:color w:val="1F497D"/>
                <w:sz w:val="24"/>
                <w:szCs w:val="24"/>
                <w:lang w:val="en-GB" w:eastAsia="fr-BE"/>
              </w:rPr>
            </w:pPr>
          </w:p>
        </w:tc>
      </w:tr>
      <w:tr w:rsidR="00906220" w:rsidRPr="000C6B80" w:rsidTr="005343AD">
        <w:tc>
          <w:tcPr>
            <w:tcW w:w="2538" w:type="dxa"/>
          </w:tcPr>
          <w:p w:rsidR="005343AD" w:rsidRPr="00530C6B" w:rsidRDefault="005343AD" w:rsidP="00BA66AA">
            <w:pPr>
              <w:pStyle w:val="Listenabsatz"/>
              <w:numPr>
                <w:ilvl w:val="0"/>
                <w:numId w:val="1"/>
              </w:numPr>
              <w:rPr>
                <w:rFonts w:cs="Times New Roman"/>
                <w:b/>
                <w:sz w:val="24"/>
                <w:szCs w:val="24"/>
                <w:lang w:val="en-US"/>
              </w:rPr>
            </w:pPr>
            <w:r w:rsidRPr="00530C6B">
              <w:rPr>
                <w:rFonts w:cs="Times New Roman"/>
                <w:b/>
                <w:sz w:val="24"/>
                <w:szCs w:val="24"/>
                <w:lang w:val="en-US"/>
              </w:rPr>
              <w:t>aws</w:t>
            </w:r>
          </w:p>
          <w:p w:rsidR="00BF6224" w:rsidRPr="00530C6B" w:rsidRDefault="00BA66AA" w:rsidP="005343AD">
            <w:pPr>
              <w:pStyle w:val="Listenabsatz"/>
              <w:rPr>
                <w:rFonts w:cs="Times New Roman"/>
                <w:b/>
                <w:sz w:val="24"/>
                <w:szCs w:val="24"/>
                <w:lang w:val="en-US"/>
              </w:rPr>
            </w:pPr>
            <w:r w:rsidRPr="00530C6B">
              <w:rPr>
                <w:rFonts w:cs="Times New Roman"/>
                <w:b/>
                <w:sz w:val="24"/>
                <w:szCs w:val="24"/>
                <w:lang w:val="en-US"/>
              </w:rPr>
              <w:t>Austria</w:t>
            </w:r>
          </w:p>
          <w:p w:rsidR="00F069BD" w:rsidRPr="00530C6B" w:rsidRDefault="00F069BD" w:rsidP="005343AD">
            <w:pPr>
              <w:pStyle w:val="Listenabsatz"/>
              <w:rPr>
                <w:rFonts w:cs="Times New Roman"/>
                <w:b/>
                <w:sz w:val="24"/>
                <w:szCs w:val="24"/>
                <w:lang w:val="en-US"/>
              </w:rPr>
            </w:pPr>
          </w:p>
        </w:tc>
        <w:tc>
          <w:tcPr>
            <w:tcW w:w="6524" w:type="dxa"/>
          </w:tcPr>
          <w:p w:rsidR="00906220" w:rsidRPr="00530C6B" w:rsidRDefault="00906220" w:rsidP="00BB4A29">
            <w:pPr>
              <w:shd w:val="clear" w:color="auto" w:fill="FFFFFF"/>
              <w:jc w:val="both"/>
              <w:rPr>
                <w:rFonts w:ascii="Calibri" w:eastAsia="Times New Roman" w:hAnsi="Calibri" w:cs="Segoe UI"/>
                <w:color w:val="1F497D"/>
                <w:sz w:val="24"/>
                <w:szCs w:val="24"/>
                <w:lang w:val="en-GB" w:eastAsia="fr-BE"/>
              </w:rPr>
            </w:pPr>
            <w:r w:rsidRPr="00530C6B">
              <w:rPr>
                <w:rFonts w:ascii="Calibri" w:eastAsia="Times New Roman" w:hAnsi="Calibri" w:cs="Segoe UI"/>
                <w:color w:val="1F497D"/>
                <w:sz w:val="24"/>
                <w:szCs w:val="24"/>
                <w:lang w:val="en-GB" w:eastAsia="fr-BE"/>
              </w:rPr>
              <w:t>Does not issue guarantees for factoring or bonds.</w:t>
            </w:r>
          </w:p>
          <w:p w:rsidR="005343AD" w:rsidRPr="00530C6B" w:rsidRDefault="005343AD" w:rsidP="00BB4A29">
            <w:pPr>
              <w:shd w:val="clear" w:color="auto" w:fill="FFFFFF"/>
              <w:jc w:val="both"/>
              <w:rPr>
                <w:rFonts w:ascii="Calibri" w:eastAsia="Times New Roman" w:hAnsi="Calibri" w:cs="Segoe UI"/>
                <w:color w:val="1F497D"/>
                <w:sz w:val="24"/>
                <w:szCs w:val="24"/>
                <w:lang w:val="en-GB" w:eastAsia="fr-BE"/>
              </w:rPr>
            </w:pPr>
          </w:p>
        </w:tc>
      </w:tr>
      <w:tr w:rsidR="0063280F" w:rsidRPr="000C6B80" w:rsidTr="005343AD">
        <w:trPr>
          <w:trHeight w:val="781"/>
        </w:trPr>
        <w:tc>
          <w:tcPr>
            <w:tcW w:w="2538" w:type="dxa"/>
          </w:tcPr>
          <w:p w:rsidR="005343AD" w:rsidRPr="00530C6B" w:rsidRDefault="005343AD" w:rsidP="00906220">
            <w:pPr>
              <w:pStyle w:val="Listenabsatz"/>
              <w:numPr>
                <w:ilvl w:val="0"/>
                <w:numId w:val="1"/>
              </w:numPr>
              <w:rPr>
                <w:rFonts w:cs="Times New Roman"/>
                <w:b/>
                <w:sz w:val="24"/>
                <w:szCs w:val="24"/>
                <w:lang w:val="en-US"/>
              </w:rPr>
            </w:pPr>
            <w:r w:rsidRPr="00530C6B">
              <w:rPr>
                <w:rFonts w:cs="Times New Roman"/>
                <w:b/>
                <w:sz w:val="24"/>
                <w:szCs w:val="24"/>
                <w:lang w:val="en-US"/>
              </w:rPr>
              <w:t>INVEGA</w:t>
            </w:r>
          </w:p>
          <w:p w:rsidR="0063280F" w:rsidRPr="00530C6B" w:rsidRDefault="0063280F" w:rsidP="005343AD">
            <w:pPr>
              <w:pStyle w:val="Listenabsatz"/>
              <w:rPr>
                <w:rFonts w:cs="Times New Roman"/>
                <w:b/>
                <w:sz w:val="24"/>
                <w:szCs w:val="24"/>
                <w:lang w:val="en-US"/>
              </w:rPr>
            </w:pPr>
            <w:r w:rsidRPr="00530C6B">
              <w:rPr>
                <w:rFonts w:cs="Times New Roman"/>
                <w:b/>
                <w:sz w:val="24"/>
                <w:szCs w:val="24"/>
                <w:lang w:val="en-US"/>
              </w:rPr>
              <w:t>Lithuania</w:t>
            </w:r>
          </w:p>
        </w:tc>
        <w:tc>
          <w:tcPr>
            <w:tcW w:w="6524" w:type="dxa"/>
          </w:tcPr>
          <w:p w:rsidR="0063280F" w:rsidRPr="00530C6B" w:rsidRDefault="0063280F" w:rsidP="00BB4A29">
            <w:pPr>
              <w:shd w:val="clear" w:color="auto" w:fill="FFFFFF"/>
              <w:jc w:val="both"/>
              <w:rPr>
                <w:rFonts w:ascii="Calibri" w:eastAsia="Times New Roman" w:hAnsi="Calibri" w:cs="Segoe UI"/>
                <w:color w:val="1F497D"/>
                <w:sz w:val="24"/>
                <w:szCs w:val="24"/>
                <w:lang w:val="en-GB" w:eastAsia="fr-BE"/>
              </w:rPr>
            </w:pPr>
            <w:r w:rsidRPr="00530C6B">
              <w:rPr>
                <w:rFonts w:ascii="Calibri" w:eastAsia="Times New Roman" w:hAnsi="Calibri" w:cs="Segoe UI"/>
                <w:color w:val="1F497D"/>
                <w:sz w:val="24"/>
                <w:szCs w:val="24"/>
                <w:lang w:val="en-GB" w:eastAsia="fr-BE"/>
              </w:rPr>
              <w:t xml:space="preserve">They have individual and portfolio‎ guarantees on leasing financing. And of course experience of risk evaluation on guarantees could be presented </w:t>
            </w:r>
            <w:r w:rsidR="00307FE3" w:rsidRPr="00530C6B">
              <w:rPr>
                <w:rFonts w:ascii="Calibri" w:eastAsia="Times New Roman" w:hAnsi="Calibri" w:cs="Segoe UI"/>
                <w:color w:val="1F497D"/>
                <w:sz w:val="24"/>
                <w:szCs w:val="24"/>
                <w:lang w:val="en-GB" w:eastAsia="fr-BE"/>
              </w:rPr>
              <w:t>to</w:t>
            </w:r>
            <w:r w:rsidRPr="00530C6B">
              <w:rPr>
                <w:rFonts w:ascii="Calibri" w:eastAsia="Times New Roman" w:hAnsi="Calibri" w:cs="Segoe UI"/>
                <w:color w:val="1F497D"/>
                <w:sz w:val="24"/>
                <w:szCs w:val="24"/>
                <w:lang w:val="en-GB" w:eastAsia="fr-BE"/>
              </w:rPr>
              <w:t xml:space="preserve"> AECM members</w:t>
            </w:r>
          </w:p>
          <w:p w:rsidR="005343AD" w:rsidRPr="00530C6B" w:rsidRDefault="005343AD" w:rsidP="00BB4A29">
            <w:pPr>
              <w:shd w:val="clear" w:color="auto" w:fill="FFFFFF"/>
              <w:jc w:val="both"/>
              <w:rPr>
                <w:rFonts w:ascii="Calibri" w:eastAsia="Times New Roman" w:hAnsi="Calibri" w:cs="Segoe UI"/>
                <w:color w:val="1F497D"/>
                <w:sz w:val="24"/>
                <w:szCs w:val="24"/>
                <w:lang w:val="en-GB" w:eastAsia="fr-BE"/>
              </w:rPr>
            </w:pPr>
          </w:p>
        </w:tc>
      </w:tr>
      <w:tr w:rsidR="00525171" w:rsidRPr="000C6B80" w:rsidTr="005343AD">
        <w:trPr>
          <w:trHeight w:val="781"/>
        </w:trPr>
        <w:tc>
          <w:tcPr>
            <w:tcW w:w="2538" w:type="dxa"/>
          </w:tcPr>
          <w:p w:rsidR="00525171" w:rsidRPr="00530C6B" w:rsidRDefault="00525171" w:rsidP="00906220">
            <w:pPr>
              <w:pStyle w:val="Listenabsatz"/>
              <w:numPr>
                <w:ilvl w:val="0"/>
                <w:numId w:val="1"/>
              </w:numPr>
              <w:rPr>
                <w:rFonts w:cs="Times New Roman"/>
                <w:b/>
                <w:sz w:val="24"/>
                <w:szCs w:val="24"/>
                <w:lang w:val="en-US"/>
              </w:rPr>
            </w:pPr>
            <w:r w:rsidRPr="00530C6B">
              <w:rPr>
                <w:rFonts w:cs="Times New Roman"/>
                <w:b/>
                <w:sz w:val="24"/>
                <w:szCs w:val="24"/>
                <w:lang w:val="en-US"/>
              </w:rPr>
              <w:t>PMV</w:t>
            </w:r>
          </w:p>
          <w:p w:rsidR="00525171" w:rsidRPr="00530C6B" w:rsidRDefault="00525171" w:rsidP="00525171">
            <w:pPr>
              <w:pStyle w:val="Listenabsatz"/>
              <w:rPr>
                <w:rFonts w:cs="Times New Roman"/>
                <w:b/>
                <w:sz w:val="24"/>
                <w:szCs w:val="24"/>
                <w:lang w:val="en-US"/>
              </w:rPr>
            </w:pPr>
            <w:r w:rsidRPr="00530C6B">
              <w:rPr>
                <w:rFonts w:cs="Times New Roman"/>
                <w:b/>
                <w:sz w:val="24"/>
                <w:szCs w:val="24"/>
                <w:lang w:val="en-US"/>
              </w:rPr>
              <w:t>Belgium</w:t>
            </w:r>
          </w:p>
        </w:tc>
        <w:tc>
          <w:tcPr>
            <w:tcW w:w="6524" w:type="dxa"/>
          </w:tcPr>
          <w:p w:rsidR="00525171" w:rsidRPr="00530C6B" w:rsidRDefault="00525171" w:rsidP="00BB4A29">
            <w:pPr>
              <w:jc w:val="both"/>
              <w:rPr>
                <w:sz w:val="24"/>
                <w:szCs w:val="24"/>
                <w:lang w:val="nl-BE"/>
              </w:rPr>
            </w:pPr>
            <w:r w:rsidRPr="00530C6B">
              <w:rPr>
                <w:color w:val="1F497D"/>
                <w:sz w:val="24"/>
                <w:szCs w:val="24"/>
                <w:lang w:val="en-US"/>
              </w:rPr>
              <w:t>Within PMV Waarborgbeheer we don’t have any particular experience in providing guarantees on factoring and/or bonds.</w:t>
            </w:r>
          </w:p>
          <w:p w:rsidR="00525171" w:rsidRPr="00530C6B" w:rsidRDefault="00525171" w:rsidP="00BB4A29">
            <w:pPr>
              <w:shd w:val="clear" w:color="auto" w:fill="FFFFFF"/>
              <w:jc w:val="both"/>
              <w:rPr>
                <w:rFonts w:ascii="Calibri" w:eastAsia="Times New Roman" w:hAnsi="Calibri" w:cs="Segoe UI"/>
                <w:color w:val="1F497D"/>
                <w:sz w:val="24"/>
                <w:szCs w:val="24"/>
                <w:lang w:val="nl-BE" w:eastAsia="fr-BE"/>
              </w:rPr>
            </w:pPr>
          </w:p>
        </w:tc>
      </w:tr>
      <w:tr w:rsidR="00307FE3" w:rsidRPr="000C6B80" w:rsidTr="005343AD">
        <w:trPr>
          <w:trHeight w:val="781"/>
        </w:trPr>
        <w:tc>
          <w:tcPr>
            <w:tcW w:w="2538" w:type="dxa"/>
          </w:tcPr>
          <w:p w:rsidR="00307FE3" w:rsidRPr="00530C6B" w:rsidRDefault="00307FE3" w:rsidP="00906220">
            <w:pPr>
              <w:pStyle w:val="Listenabsatz"/>
              <w:numPr>
                <w:ilvl w:val="0"/>
                <w:numId w:val="1"/>
              </w:numPr>
              <w:rPr>
                <w:rFonts w:cs="Times New Roman"/>
                <w:b/>
                <w:sz w:val="24"/>
                <w:szCs w:val="24"/>
                <w:lang w:val="en-US"/>
              </w:rPr>
            </w:pPr>
            <w:r w:rsidRPr="00530C6B">
              <w:rPr>
                <w:rFonts w:cs="Times New Roman"/>
                <w:b/>
                <w:sz w:val="24"/>
                <w:szCs w:val="24"/>
                <w:lang w:val="en-US"/>
              </w:rPr>
              <w:t>KredEx</w:t>
            </w:r>
          </w:p>
          <w:p w:rsidR="00307FE3" w:rsidRPr="00530C6B" w:rsidRDefault="00307FE3" w:rsidP="00307FE3">
            <w:pPr>
              <w:pStyle w:val="Listenabsatz"/>
              <w:rPr>
                <w:rFonts w:cs="Times New Roman"/>
                <w:b/>
                <w:sz w:val="24"/>
                <w:szCs w:val="24"/>
                <w:lang w:val="en-US"/>
              </w:rPr>
            </w:pPr>
            <w:r w:rsidRPr="00530C6B">
              <w:rPr>
                <w:rFonts w:cs="Times New Roman"/>
                <w:b/>
                <w:sz w:val="24"/>
                <w:szCs w:val="24"/>
                <w:lang w:val="en-US"/>
              </w:rPr>
              <w:t>Estonia</w:t>
            </w:r>
          </w:p>
        </w:tc>
        <w:tc>
          <w:tcPr>
            <w:tcW w:w="6524" w:type="dxa"/>
          </w:tcPr>
          <w:p w:rsidR="00307FE3" w:rsidRPr="00530C6B" w:rsidRDefault="00307FE3" w:rsidP="00BB4A29">
            <w:pPr>
              <w:jc w:val="both"/>
              <w:rPr>
                <w:color w:val="1F497D"/>
                <w:sz w:val="24"/>
                <w:szCs w:val="24"/>
                <w:lang w:val="en-US"/>
              </w:rPr>
            </w:pPr>
            <w:r w:rsidRPr="00530C6B">
              <w:rPr>
                <w:color w:val="1F497D"/>
                <w:sz w:val="24"/>
                <w:szCs w:val="24"/>
                <w:lang w:val="en-US"/>
              </w:rPr>
              <w:t>KredEx provides through its daughter company credit insurance for factoring</w:t>
            </w:r>
          </w:p>
        </w:tc>
      </w:tr>
      <w:tr w:rsidR="00C0094D" w:rsidRPr="000C6B80" w:rsidTr="005343AD">
        <w:trPr>
          <w:trHeight w:val="781"/>
        </w:trPr>
        <w:tc>
          <w:tcPr>
            <w:tcW w:w="2538" w:type="dxa"/>
          </w:tcPr>
          <w:p w:rsidR="00C0094D" w:rsidRPr="00530C6B" w:rsidRDefault="00C0094D" w:rsidP="00906220">
            <w:pPr>
              <w:pStyle w:val="Listenabsatz"/>
              <w:numPr>
                <w:ilvl w:val="0"/>
                <w:numId w:val="1"/>
              </w:numPr>
              <w:rPr>
                <w:rFonts w:cs="Times New Roman"/>
                <w:b/>
                <w:sz w:val="24"/>
                <w:szCs w:val="24"/>
                <w:lang w:val="en-US"/>
              </w:rPr>
            </w:pPr>
            <w:r w:rsidRPr="00530C6B">
              <w:rPr>
                <w:rFonts w:cs="Times New Roman"/>
                <w:b/>
                <w:sz w:val="24"/>
                <w:szCs w:val="24"/>
                <w:lang w:val="en-US"/>
              </w:rPr>
              <w:lastRenderedPageBreak/>
              <w:t>AVHGA</w:t>
            </w:r>
          </w:p>
          <w:p w:rsidR="00C0094D" w:rsidRPr="00530C6B" w:rsidRDefault="00C0094D" w:rsidP="00C0094D">
            <w:pPr>
              <w:pStyle w:val="Listenabsatz"/>
              <w:rPr>
                <w:rFonts w:cs="Times New Roman"/>
                <w:b/>
                <w:sz w:val="24"/>
                <w:szCs w:val="24"/>
                <w:lang w:val="en-US"/>
              </w:rPr>
            </w:pPr>
            <w:r w:rsidRPr="00530C6B">
              <w:rPr>
                <w:rFonts w:cs="Times New Roman"/>
                <w:b/>
                <w:sz w:val="24"/>
                <w:szCs w:val="24"/>
                <w:lang w:val="en-US"/>
              </w:rPr>
              <w:t>Hungary</w:t>
            </w:r>
          </w:p>
        </w:tc>
        <w:tc>
          <w:tcPr>
            <w:tcW w:w="6524" w:type="dxa"/>
          </w:tcPr>
          <w:p w:rsidR="00BB4A29" w:rsidRPr="00530C6B" w:rsidRDefault="00C0094D" w:rsidP="00BB4A29">
            <w:pPr>
              <w:jc w:val="both"/>
              <w:rPr>
                <w:color w:val="1F497D"/>
                <w:sz w:val="24"/>
                <w:szCs w:val="24"/>
                <w:lang w:val="en-US"/>
              </w:rPr>
            </w:pPr>
            <w:r w:rsidRPr="00530C6B">
              <w:rPr>
                <w:color w:val="1F497D"/>
                <w:sz w:val="24"/>
                <w:szCs w:val="24"/>
                <w:lang w:val="en-US"/>
              </w:rPr>
              <w:t>Regarding factoring, the General Terms and Conditions of AVHGA make it possible to guarantee transactions of this kind. However, factoring transaction guarantees have a small share in our portfolio (1-2%). Most of the factoring guarantee applications are submitted by two different partners, with whom we have a well-working relationship regarding guarantee issuance procedures. On the other side, only a few transactions are redeemed, but sometimes there are problems at this point. The source of this is the complexity of the legal framework of factoring constructions which makes it difficult to understand and apply certain conditions, mostly regarding to collaterals and recoveries.</w:t>
            </w:r>
          </w:p>
          <w:p w:rsidR="00BB4A29" w:rsidRPr="00530C6B" w:rsidRDefault="00BB4A29" w:rsidP="00BB4A29">
            <w:pPr>
              <w:jc w:val="both"/>
              <w:rPr>
                <w:color w:val="1F497D"/>
                <w:sz w:val="24"/>
                <w:szCs w:val="24"/>
                <w:lang w:val="en-US"/>
              </w:rPr>
            </w:pPr>
          </w:p>
          <w:p w:rsidR="00C0094D" w:rsidRPr="00530C6B" w:rsidRDefault="00C0094D" w:rsidP="00BB4A29">
            <w:pPr>
              <w:jc w:val="both"/>
              <w:rPr>
                <w:color w:val="1F497D"/>
                <w:sz w:val="24"/>
                <w:szCs w:val="24"/>
                <w:lang w:val="en-US"/>
              </w:rPr>
            </w:pPr>
            <w:r w:rsidRPr="00530C6B">
              <w:rPr>
                <w:color w:val="1F497D"/>
                <w:sz w:val="24"/>
                <w:szCs w:val="24"/>
                <w:lang w:val="en-US"/>
              </w:rPr>
              <w:t>We do not guarantee bonds.</w:t>
            </w:r>
          </w:p>
          <w:p w:rsidR="00C0094D" w:rsidRPr="00530C6B" w:rsidRDefault="00C0094D" w:rsidP="00BB4A29">
            <w:pPr>
              <w:jc w:val="both"/>
              <w:rPr>
                <w:color w:val="1F497D"/>
                <w:sz w:val="24"/>
                <w:szCs w:val="24"/>
                <w:lang w:val="en-US"/>
              </w:rPr>
            </w:pPr>
          </w:p>
        </w:tc>
      </w:tr>
      <w:tr w:rsidR="00BB4A29" w:rsidRPr="000C6B80" w:rsidTr="005343AD">
        <w:trPr>
          <w:trHeight w:val="781"/>
        </w:trPr>
        <w:tc>
          <w:tcPr>
            <w:tcW w:w="2538" w:type="dxa"/>
          </w:tcPr>
          <w:p w:rsidR="00BB4A29" w:rsidRPr="00530C6B" w:rsidRDefault="00BB4A29" w:rsidP="00906220">
            <w:pPr>
              <w:pStyle w:val="Listenabsatz"/>
              <w:numPr>
                <w:ilvl w:val="0"/>
                <w:numId w:val="1"/>
              </w:numPr>
              <w:rPr>
                <w:rFonts w:cs="Times New Roman"/>
                <w:b/>
                <w:sz w:val="24"/>
                <w:szCs w:val="24"/>
                <w:lang w:val="en-US"/>
              </w:rPr>
            </w:pPr>
            <w:r w:rsidRPr="00530C6B">
              <w:rPr>
                <w:rFonts w:cs="Times New Roman"/>
                <w:b/>
                <w:sz w:val="24"/>
                <w:szCs w:val="24"/>
                <w:lang w:val="en-US"/>
              </w:rPr>
              <w:t>Garantiqa</w:t>
            </w:r>
          </w:p>
          <w:p w:rsidR="00BB4A29" w:rsidRPr="00530C6B" w:rsidRDefault="00BB4A29" w:rsidP="00BB4A29">
            <w:pPr>
              <w:pStyle w:val="Listenabsatz"/>
              <w:rPr>
                <w:rFonts w:cs="Times New Roman"/>
                <w:b/>
                <w:sz w:val="24"/>
                <w:szCs w:val="24"/>
                <w:lang w:val="en-US"/>
              </w:rPr>
            </w:pPr>
            <w:r w:rsidRPr="00530C6B">
              <w:rPr>
                <w:rFonts w:cs="Times New Roman"/>
                <w:b/>
                <w:sz w:val="24"/>
                <w:szCs w:val="24"/>
                <w:lang w:val="en-US"/>
              </w:rPr>
              <w:t>Hungary</w:t>
            </w:r>
          </w:p>
        </w:tc>
        <w:tc>
          <w:tcPr>
            <w:tcW w:w="6524" w:type="dxa"/>
          </w:tcPr>
          <w:p w:rsidR="00BB4A29" w:rsidRPr="00530C6B" w:rsidRDefault="00BB4A29" w:rsidP="00BB4A29">
            <w:pPr>
              <w:jc w:val="both"/>
              <w:rPr>
                <w:color w:val="1F497D"/>
                <w:sz w:val="24"/>
                <w:szCs w:val="24"/>
                <w:lang w:val="en-GB"/>
              </w:rPr>
            </w:pPr>
            <w:r w:rsidRPr="00530C6B">
              <w:rPr>
                <w:color w:val="1F497D"/>
                <w:sz w:val="24"/>
                <w:szCs w:val="24"/>
                <w:lang w:val="en-GB"/>
              </w:rPr>
              <w:t xml:space="preserve">Garantiqa expanded its operations in 2006 by providing guarantees to support the access of SMEs to factoring services provided by credit institutions and financial companies for production equipment purchases. According to our legal regulation we can guarantee single factor transactions (frame factor agreement is not allowed) with one-year tenor. The guarantee fee depends on the client rating and the risk classification of the transaction. </w:t>
            </w:r>
          </w:p>
          <w:p w:rsidR="00BB4A29" w:rsidRPr="00530C6B" w:rsidRDefault="00BB4A29" w:rsidP="00BB4A29">
            <w:pPr>
              <w:jc w:val="both"/>
              <w:rPr>
                <w:color w:val="1F497D"/>
                <w:sz w:val="24"/>
                <w:szCs w:val="24"/>
                <w:lang w:val="en-GB"/>
              </w:rPr>
            </w:pPr>
          </w:p>
          <w:p w:rsidR="00BB4A29" w:rsidRPr="00530C6B" w:rsidRDefault="00BB4A29" w:rsidP="00BB4A29">
            <w:pPr>
              <w:jc w:val="both"/>
              <w:rPr>
                <w:color w:val="1F497D"/>
                <w:sz w:val="24"/>
                <w:szCs w:val="24"/>
                <w:lang w:val="en-GB"/>
              </w:rPr>
            </w:pPr>
            <w:r w:rsidRPr="00530C6B">
              <w:rPr>
                <w:color w:val="1F497D"/>
                <w:sz w:val="24"/>
                <w:szCs w:val="24"/>
                <w:lang w:val="en-GB"/>
              </w:rPr>
              <w:t>Currently Garantiqa doesn’t deal with guarantees on bond.</w:t>
            </w:r>
          </w:p>
          <w:p w:rsidR="00BB4A29" w:rsidRPr="00530C6B" w:rsidRDefault="00BB4A29" w:rsidP="00BB4A29">
            <w:pPr>
              <w:jc w:val="both"/>
              <w:rPr>
                <w:color w:val="1F497D"/>
                <w:sz w:val="24"/>
                <w:szCs w:val="24"/>
                <w:lang w:val="en-GB"/>
              </w:rPr>
            </w:pPr>
          </w:p>
        </w:tc>
      </w:tr>
    </w:tbl>
    <w:p w:rsidR="00B26186" w:rsidRPr="00530C6B" w:rsidRDefault="00B26186" w:rsidP="00906220">
      <w:pPr>
        <w:rPr>
          <w:rFonts w:ascii="Times New Roman" w:hAnsi="Times New Roman" w:cs="Times New Roman"/>
          <w:sz w:val="24"/>
          <w:szCs w:val="24"/>
          <w:lang w:val="en-GB"/>
        </w:rPr>
      </w:pPr>
    </w:p>
    <w:sectPr w:rsidR="00B26186" w:rsidRPr="00530C6B" w:rsidSect="005343AD">
      <w:headerReference w:type="default" r:id="rId7"/>
      <w:footerReference w:type="default" r:id="rId8"/>
      <w:pgSz w:w="11906" w:h="16838"/>
      <w:pgMar w:top="26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29" w:rsidRDefault="00002829" w:rsidP="00BF6224">
      <w:pPr>
        <w:spacing w:after="0" w:line="240" w:lineRule="auto"/>
      </w:pPr>
      <w:r>
        <w:separator/>
      </w:r>
    </w:p>
  </w:endnote>
  <w:endnote w:type="continuationSeparator" w:id="0">
    <w:p w:rsidR="00002829" w:rsidRDefault="00002829" w:rsidP="00BF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7308"/>
      <w:docPartObj>
        <w:docPartGallery w:val="Page Numbers (Bottom of Page)"/>
        <w:docPartUnique/>
      </w:docPartObj>
    </w:sdtPr>
    <w:sdtEndPr>
      <w:rPr>
        <w:noProof/>
      </w:rPr>
    </w:sdtEndPr>
    <w:sdtContent>
      <w:p w:rsidR="00906220" w:rsidRDefault="006F6FA7">
        <w:pPr>
          <w:pStyle w:val="Fuzeile"/>
          <w:jc w:val="right"/>
        </w:pPr>
        <w:r>
          <w:fldChar w:fldCharType="begin"/>
        </w:r>
        <w:r w:rsidR="00906220">
          <w:instrText xml:space="preserve"> PAGE   \* MERGEFORMAT </w:instrText>
        </w:r>
        <w:r>
          <w:fldChar w:fldCharType="separate"/>
        </w:r>
        <w:r w:rsidR="000C6B80">
          <w:rPr>
            <w:noProof/>
          </w:rPr>
          <w:t>1</w:t>
        </w:r>
        <w:r>
          <w:rPr>
            <w:noProof/>
          </w:rPr>
          <w:fldChar w:fldCharType="end"/>
        </w:r>
      </w:p>
    </w:sdtContent>
  </w:sdt>
  <w:p w:rsidR="00906220" w:rsidRDefault="009062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29" w:rsidRDefault="00002829" w:rsidP="00BF6224">
      <w:pPr>
        <w:spacing w:after="0" w:line="240" w:lineRule="auto"/>
      </w:pPr>
      <w:r>
        <w:separator/>
      </w:r>
    </w:p>
  </w:footnote>
  <w:footnote w:type="continuationSeparator" w:id="0">
    <w:p w:rsidR="00002829" w:rsidRDefault="00002829" w:rsidP="00BF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AD" w:rsidRDefault="005343AD" w:rsidP="005343AD">
    <w:pPr>
      <w:pStyle w:val="Kopfzeile"/>
      <w:jc w:val="right"/>
    </w:pPr>
    <w:r w:rsidRPr="005343AD">
      <w:rPr>
        <w:noProof/>
        <w:lang w:val="de-DE" w:eastAsia="de-DE"/>
      </w:rPr>
      <w:drawing>
        <wp:inline distT="0" distB="0" distL="0" distR="0">
          <wp:extent cx="1304925" cy="866775"/>
          <wp:effectExtent l="19050" t="0" r="9525" b="0"/>
          <wp:docPr id="1" name="Picture 1" descr="LOgotipo piccolo only name"/>
          <wp:cNvGraphicFramePr/>
          <a:graphic xmlns:a="http://schemas.openxmlformats.org/drawingml/2006/main">
            <a:graphicData uri="http://schemas.openxmlformats.org/drawingml/2006/picture">
              <pic:pic xmlns:pic="http://schemas.openxmlformats.org/drawingml/2006/picture">
                <pic:nvPicPr>
                  <pic:cNvPr id="0" name="Picture 1" descr="LOgotipo piccolo only name"/>
                  <pic:cNvPicPr>
                    <a:picLocks noChangeAspect="1" noChangeArrowheads="1"/>
                  </pic:cNvPicPr>
                </pic:nvPicPr>
                <pic:blipFill>
                  <a:blip r:embed="rId1"/>
                  <a:srcRect/>
                  <a:stretch>
                    <a:fillRect/>
                  </a:stretch>
                </pic:blipFill>
                <pic:spPr bwMode="auto">
                  <a:xfrm>
                    <a:off x="0" y="0"/>
                    <a:ext cx="13049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3D4"/>
    <w:multiLevelType w:val="hybridMultilevel"/>
    <w:tmpl w:val="790A0D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AD515EB"/>
    <w:multiLevelType w:val="hybridMultilevel"/>
    <w:tmpl w:val="798C65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6224"/>
    <w:rsid w:val="00002829"/>
    <w:rsid w:val="000C6B80"/>
    <w:rsid w:val="002B209D"/>
    <w:rsid w:val="00307FE3"/>
    <w:rsid w:val="00331F68"/>
    <w:rsid w:val="00332518"/>
    <w:rsid w:val="00343A52"/>
    <w:rsid w:val="003A100B"/>
    <w:rsid w:val="003C552E"/>
    <w:rsid w:val="004C1818"/>
    <w:rsid w:val="00525171"/>
    <w:rsid w:val="00530C6B"/>
    <w:rsid w:val="005333A9"/>
    <w:rsid w:val="005343AD"/>
    <w:rsid w:val="00544EC8"/>
    <w:rsid w:val="00556930"/>
    <w:rsid w:val="00582ABC"/>
    <w:rsid w:val="005C1166"/>
    <w:rsid w:val="0063280F"/>
    <w:rsid w:val="00645CD7"/>
    <w:rsid w:val="006F6FA7"/>
    <w:rsid w:val="00721859"/>
    <w:rsid w:val="00797EEA"/>
    <w:rsid w:val="00906220"/>
    <w:rsid w:val="00933853"/>
    <w:rsid w:val="00936741"/>
    <w:rsid w:val="00972828"/>
    <w:rsid w:val="00B10301"/>
    <w:rsid w:val="00B26186"/>
    <w:rsid w:val="00BA66AA"/>
    <w:rsid w:val="00BB4A29"/>
    <w:rsid w:val="00BC4FCB"/>
    <w:rsid w:val="00BF6224"/>
    <w:rsid w:val="00C0094D"/>
    <w:rsid w:val="00C6298C"/>
    <w:rsid w:val="00C6713A"/>
    <w:rsid w:val="00CD2A87"/>
    <w:rsid w:val="00CF7A54"/>
    <w:rsid w:val="00DC0612"/>
    <w:rsid w:val="00DD572B"/>
    <w:rsid w:val="00E04130"/>
    <w:rsid w:val="00EC6602"/>
    <w:rsid w:val="00F069BD"/>
    <w:rsid w:val="00F87A3B"/>
    <w:rsid w:val="00FC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D6DD"/>
  <w15:docId w15:val="{988E3207-4BE5-4517-83FE-F9161E6A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F6F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F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F6224"/>
    <w:pPr>
      <w:ind w:left="720"/>
      <w:contextualSpacing/>
    </w:pPr>
  </w:style>
  <w:style w:type="character" w:customStyle="1" w:styleId="apple-converted-space">
    <w:name w:val="apple-converted-space"/>
    <w:basedOn w:val="Absatz-Standardschriftart"/>
    <w:rsid w:val="00BA66AA"/>
  </w:style>
  <w:style w:type="paragraph" w:styleId="Sprechblasentext">
    <w:name w:val="Balloon Text"/>
    <w:basedOn w:val="Standard"/>
    <w:link w:val="SprechblasentextZchn"/>
    <w:uiPriority w:val="99"/>
    <w:semiHidden/>
    <w:unhideWhenUsed/>
    <w:rsid w:val="00B261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6186"/>
    <w:rPr>
      <w:rFonts w:ascii="Segoe UI" w:hAnsi="Segoe UI" w:cs="Segoe UI"/>
      <w:sz w:val="18"/>
      <w:szCs w:val="18"/>
    </w:rPr>
  </w:style>
  <w:style w:type="paragraph" w:styleId="Kopfzeile">
    <w:name w:val="header"/>
    <w:basedOn w:val="Standard"/>
    <w:link w:val="KopfzeileZchn"/>
    <w:uiPriority w:val="99"/>
    <w:unhideWhenUsed/>
    <w:rsid w:val="009062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6220"/>
  </w:style>
  <w:style w:type="paragraph" w:styleId="Fuzeile">
    <w:name w:val="footer"/>
    <w:basedOn w:val="Standard"/>
    <w:link w:val="FuzeileZchn"/>
    <w:uiPriority w:val="99"/>
    <w:unhideWhenUsed/>
    <w:rsid w:val="009062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012">
      <w:bodyDiv w:val="1"/>
      <w:marLeft w:val="0"/>
      <w:marRight w:val="0"/>
      <w:marTop w:val="0"/>
      <w:marBottom w:val="0"/>
      <w:divBdr>
        <w:top w:val="none" w:sz="0" w:space="0" w:color="auto"/>
        <w:left w:val="none" w:sz="0" w:space="0" w:color="auto"/>
        <w:bottom w:val="none" w:sz="0" w:space="0" w:color="auto"/>
        <w:right w:val="none" w:sz="0" w:space="0" w:color="auto"/>
      </w:divBdr>
    </w:div>
    <w:div w:id="133067575">
      <w:bodyDiv w:val="1"/>
      <w:marLeft w:val="0"/>
      <w:marRight w:val="0"/>
      <w:marTop w:val="0"/>
      <w:marBottom w:val="0"/>
      <w:divBdr>
        <w:top w:val="none" w:sz="0" w:space="0" w:color="auto"/>
        <w:left w:val="none" w:sz="0" w:space="0" w:color="auto"/>
        <w:bottom w:val="none" w:sz="0" w:space="0" w:color="auto"/>
        <w:right w:val="none" w:sz="0" w:space="0" w:color="auto"/>
      </w:divBdr>
    </w:div>
    <w:div w:id="135413928">
      <w:bodyDiv w:val="1"/>
      <w:marLeft w:val="0"/>
      <w:marRight w:val="0"/>
      <w:marTop w:val="0"/>
      <w:marBottom w:val="0"/>
      <w:divBdr>
        <w:top w:val="none" w:sz="0" w:space="0" w:color="auto"/>
        <w:left w:val="none" w:sz="0" w:space="0" w:color="auto"/>
        <w:bottom w:val="none" w:sz="0" w:space="0" w:color="auto"/>
        <w:right w:val="none" w:sz="0" w:space="0" w:color="auto"/>
      </w:divBdr>
      <w:divsChild>
        <w:div w:id="1542670106">
          <w:marLeft w:val="0"/>
          <w:marRight w:val="0"/>
          <w:marTop w:val="0"/>
          <w:marBottom w:val="0"/>
          <w:divBdr>
            <w:top w:val="none" w:sz="0" w:space="0" w:color="auto"/>
            <w:left w:val="none" w:sz="0" w:space="0" w:color="auto"/>
            <w:bottom w:val="none" w:sz="0" w:space="0" w:color="auto"/>
            <w:right w:val="none" w:sz="0" w:space="0" w:color="auto"/>
          </w:divBdr>
        </w:div>
        <w:div w:id="1405644688">
          <w:marLeft w:val="0"/>
          <w:marRight w:val="0"/>
          <w:marTop w:val="0"/>
          <w:marBottom w:val="0"/>
          <w:divBdr>
            <w:top w:val="none" w:sz="0" w:space="0" w:color="auto"/>
            <w:left w:val="none" w:sz="0" w:space="0" w:color="auto"/>
            <w:bottom w:val="none" w:sz="0" w:space="0" w:color="auto"/>
            <w:right w:val="none" w:sz="0" w:space="0" w:color="auto"/>
          </w:divBdr>
        </w:div>
      </w:divsChild>
    </w:div>
    <w:div w:id="498273225">
      <w:bodyDiv w:val="1"/>
      <w:marLeft w:val="0"/>
      <w:marRight w:val="0"/>
      <w:marTop w:val="0"/>
      <w:marBottom w:val="0"/>
      <w:divBdr>
        <w:top w:val="none" w:sz="0" w:space="0" w:color="auto"/>
        <w:left w:val="none" w:sz="0" w:space="0" w:color="auto"/>
        <w:bottom w:val="none" w:sz="0" w:space="0" w:color="auto"/>
        <w:right w:val="none" w:sz="0" w:space="0" w:color="auto"/>
      </w:divBdr>
      <w:divsChild>
        <w:div w:id="1190989739">
          <w:marLeft w:val="0"/>
          <w:marRight w:val="0"/>
          <w:marTop w:val="0"/>
          <w:marBottom w:val="0"/>
          <w:divBdr>
            <w:top w:val="none" w:sz="0" w:space="0" w:color="auto"/>
            <w:left w:val="none" w:sz="0" w:space="0" w:color="auto"/>
            <w:bottom w:val="none" w:sz="0" w:space="0" w:color="auto"/>
            <w:right w:val="none" w:sz="0" w:space="0" w:color="auto"/>
          </w:divBdr>
        </w:div>
        <w:div w:id="761532260">
          <w:marLeft w:val="0"/>
          <w:marRight w:val="0"/>
          <w:marTop w:val="0"/>
          <w:marBottom w:val="0"/>
          <w:divBdr>
            <w:top w:val="none" w:sz="0" w:space="0" w:color="auto"/>
            <w:left w:val="none" w:sz="0" w:space="0" w:color="auto"/>
            <w:bottom w:val="none" w:sz="0" w:space="0" w:color="auto"/>
            <w:right w:val="none" w:sz="0" w:space="0" w:color="auto"/>
          </w:divBdr>
        </w:div>
        <w:div w:id="2026662563">
          <w:marLeft w:val="0"/>
          <w:marRight w:val="0"/>
          <w:marTop w:val="0"/>
          <w:marBottom w:val="0"/>
          <w:divBdr>
            <w:top w:val="none" w:sz="0" w:space="0" w:color="auto"/>
            <w:left w:val="none" w:sz="0" w:space="0" w:color="auto"/>
            <w:bottom w:val="none" w:sz="0" w:space="0" w:color="auto"/>
            <w:right w:val="none" w:sz="0" w:space="0" w:color="auto"/>
          </w:divBdr>
        </w:div>
      </w:divsChild>
    </w:div>
    <w:div w:id="499346226">
      <w:bodyDiv w:val="1"/>
      <w:marLeft w:val="0"/>
      <w:marRight w:val="0"/>
      <w:marTop w:val="0"/>
      <w:marBottom w:val="0"/>
      <w:divBdr>
        <w:top w:val="none" w:sz="0" w:space="0" w:color="auto"/>
        <w:left w:val="none" w:sz="0" w:space="0" w:color="auto"/>
        <w:bottom w:val="none" w:sz="0" w:space="0" w:color="auto"/>
        <w:right w:val="none" w:sz="0" w:space="0" w:color="auto"/>
      </w:divBdr>
      <w:divsChild>
        <w:div w:id="1622809720">
          <w:marLeft w:val="0"/>
          <w:marRight w:val="0"/>
          <w:marTop w:val="0"/>
          <w:marBottom w:val="0"/>
          <w:divBdr>
            <w:top w:val="none" w:sz="0" w:space="0" w:color="auto"/>
            <w:left w:val="none" w:sz="0" w:space="0" w:color="auto"/>
            <w:bottom w:val="none" w:sz="0" w:space="0" w:color="auto"/>
            <w:right w:val="none" w:sz="0" w:space="0" w:color="auto"/>
          </w:divBdr>
        </w:div>
        <w:div w:id="625966535">
          <w:marLeft w:val="0"/>
          <w:marRight w:val="0"/>
          <w:marTop w:val="0"/>
          <w:marBottom w:val="0"/>
          <w:divBdr>
            <w:top w:val="none" w:sz="0" w:space="0" w:color="auto"/>
            <w:left w:val="none" w:sz="0" w:space="0" w:color="auto"/>
            <w:bottom w:val="none" w:sz="0" w:space="0" w:color="auto"/>
            <w:right w:val="none" w:sz="0" w:space="0" w:color="auto"/>
          </w:divBdr>
        </w:div>
        <w:div w:id="1848666363">
          <w:marLeft w:val="0"/>
          <w:marRight w:val="0"/>
          <w:marTop w:val="0"/>
          <w:marBottom w:val="0"/>
          <w:divBdr>
            <w:top w:val="none" w:sz="0" w:space="0" w:color="auto"/>
            <w:left w:val="none" w:sz="0" w:space="0" w:color="auto"/>
            <w:bottom w:val="none" w:sz="0" w:space="0" w:color="auto"/>
            <w:right w:val="none" w:sz="0" w:space="0" w:color="auto"/>
          </w:divBdr>
        </w:div>
        <w:div w:id="104275824">
          <w:marLeft w:val="0"/>
          <w:marRight w:val="0"/>
          <w:marTop w:val="0"/>
          <w:marBottom w:val="0"/>
          <w:divBdr>
            <w:top w:val="none" w:sz="0" w:space="0" w:color="auto"/>
            <w:left w:val="none" w:sz="0" w:space="0" w:color="auto"/>
            <w:bottom w:val="none" w:sz="0" w:space="0" w:color="auto"/>
            <w:right w:val="none" w:sz="0" w:space="0" w:color="auto"/>
          </w:divBdr>
        </w:div>
      </w:divsChild>
    </w:div>
    <w:div w:id="685594948">
      <w:bodyDiv w:val="1"/>
      <w:marLeft w:val="0"/>
      <w:marRight w:val="0"/>
      <w:marTop w:val="0"/>
      <w:marBottom w:val="0"/>
      <w:divBdr>
        <w:top w:val="none" w:sz="0" w:space="0" w:color="auto"/>
        <w:left w:val="none" w:sz="0" w:space="0" w:color="auto"/>
        <w:bottom w:val="none" w:sz="0" w:space="0" w:color="auto"/>
        <w:right w:val="none" w:sz="0" w:space="0" w:color="auto"/>
      </w:divBdr>
      <w:divsChild>
        <w:div w:id="1517505001">
          <w:marLeft w:val="0"/>
          <w:marRight w:val="0"/>
          <w:marTop w:val="0"/>
          <w:marBottom w:val="0"/>
          <w:divBdr>
            <w:top w:val="none" w:sz="0" w:space="0" w:color="auto"/>
            <w:left w:val="none" w:sz="0" w:space="0" w:color="auto"/>
            <w:bottom w:val="none" w:sz="0" w:space="0" w:color="auto"/>
            <w:right w:val="none" w:sz="0" w:space="0" w:color="auto"/>
          </w:divBdr>
        </w:div>
        <w:div w:id="421339586">
          <w:marLeft w:val="0"/>
          <w:marRight w:val="0"/>
          <w:marTop w:val="0"/>
          <w:marBottom w:val="0"/>
          <w:divBdr>
            <w:top w:val="none" w:sz="0" w:space="0" w:color="auto"/>
            <w:left w:val="none" w:sz="0" w:space="0" w:color="auto"/>
            <w:bottom w:val="none" w:sz="0" w:space="0" w:color="auto"/>
            <w:right w:val="none" w:sz="0" w:space="0" w:color="auto"/>
          </w:divBdr>
        </w:div>
      </w:divsChild>
    </w:div>
    <w:div w:id="865100263">
      <w:bodyDiv w:val="1"/>
      <w:marLeft w:val="0"/>
      <w:marRight w:val="0"/>
      <w:marTop w:val="0"/>
      <w:marBottom w:val="0"/>
      <w:divBdr>
        <w:top w:val="none" w:sz="0" w:space="0" w:color="auto"/>
        <w:left w:val="none" w:sz="0" w:space="0" w:color="auto"/>
        <w:bottom w:val="none" w:sz="0" w:space="0" w:color="auto"/>
        <w:right w:val="none" w:sz="0" w:space="0" w:color="auto"/>
      </w:divBdr>
      <w:divsChild>
        <w:div w:id="1910990966">
          <w:marLeft w:val="0"/>
          <w:marRight w:val="0"/>
          <w:marTop w:val="0"/>
          <w:marBottom w:val="0"/>
          <w:divBdr>
            <w:top w:val="none" w:sz="0" w:space="0" w:color="auto"/>
            <w:left w:val="none" w:sz="0" w:space="0" w:color="auto"/>
            <w:bottom w:val="none" w:sz="0" w:space="0" w:color="auto"/>
            <w:right w:val="none" w:sz="0" w:space="0" w:color="auto"/>
          </w:divBdr>
        </w:div>
        <w:div w:id="699093081">
          <w:marLeft w:val="0"/>
          <w:marRight w:val="0"/>
          <w:marTop w:val="0"/>
          <w:marBottom w:val="0"/>
          <w:divBdr>
            <w:top w:val="none" w:sz="0" w:space="0" w:color="auto"/>
            <w:left w:val="none" w:sz="0" w:space="0" w:color="auto"/>
            <w:bottom w:val="none" w:sz="0" w:space="0" w:color="auto"/>
            <w:right w:val="none" w:sz="0" w:space="0" w:color="auto"/>
          </w:divBdr>
        </w:div>
        <w:div w:id="115763322">
          <w:marLeft w:val="0"/>
          <w:marRight w:val="0"/>
          <w:marTop w:val="0"/>
          <w:marBottom w:val="0"/>
          <w:divBdr>
            <w:top w:val="none" w:sz="0" w:space="0" w:color="auto"/>
            <w:left w:val="none" w:sz="0" w:space="0" w:color="auto"/>
            <w:bottom w:val="none" w:sz="0" w:space="0" w:color="auto"/>
            <w:right w:val="none" w:sz="0" w:space="0" w:color="auto"/>
          </w:divBdr>
        </w:div>
      </w:divsChild>
    </w:div>
    <w:div w:id="923998061">
      <w:bodyDiv w:val="1"/>
      <w:marLeft w:val="0"/>
      <w:marRight w:val="0"/>
      <w:marTop w:val="0"/>
      <w:marBottom w:val="0"/>
      <w:divBdr>
        <w:top w:val="none" w:sz="0" w:space="0" w:color="auto"/>
        <w:left w:val="none" w:sz="0" w:space="0" w:color="auto"/>
        <w:bottom w:val="none" w:sz="0" w:space="0" w:color="auto"/>
        <w:right w:val="none" w:sz="0" w:space="0" w:color="auto"/>
      </w:divBdr>
    </w:div>
    <w:div w:id="995915327">
      <w:bodyDiv w:val="1"/>
      <w:marLeft w:val="0"/>
      <w:marRight w:val="0"/>
      <w:marTop w:val="0"/>
      <w:marBottom w:val="0"/>
      <w:divBdr>
        <w:top w:val="none" w:sz="0" w:space="0" w:color="auto"/>
        <w:left w:val="none" w:sz="0" w:space="0" w:color="auto"/>
        <w:bottom w:val="none" w:sz="0" w:space="0" w:color="auto"/>
        <w:right w:val="none" w:sz="0" w:space="0" w:color="auto"/>
      </w:divBdr>
    </w:div>
    <w:div w:id="1029719320">
      <w:bodyDiv w:val="1"/>
      <w:marLeft w:val="0"/>
      <w:marRight w:val="0"/>
      <w:marTop w:val="0"/>
      <w:marBottom w:val="0"/>
      <w:divBdr>
        <w:top w:val="none" w:sz="0" w:space="0" w:color="auto"/>
        <w:left w:val="none" w:sz="0" w:space="0" w:color="auto"/>
        <w:bottom w:val="none" w:sz="0" w:space="0" w:color="auto"/>
        <w:right w:val="none" w:sz="0" w:space="0" w:color="auto"/>
      </w:divBdr>
    </w:div>
    <w:div w:id="1080953324">
      <w:bodyDiv w:val="1"/>
      <w:marLeft w:val="0"/>
      <w:marRight w:val="0"/>
      <w:marTop w:val="0"/>
      <w:marBottom w:val="0"/>
      <w:divBdr>
        <w:top w:val="none" w:sz="0" w:space="0" w:color="auto"/>
        <w:left w:val="none" w:sz="0" w:space="0" w:color="auto"/>
        <w:bottom w:val="none" w:sz="0" w:space="0" w:color="auto"/>
        <w:right w:val="none" w:sz="0" w:space="0" w:color="auto"/>
      </w:divBdr>
      <w:divsChild>
        <w:div w:id="694229338">
          <w:marLeft w:val="0"/>
          <w:marRight w:val="0"/>
          <w:marTop w:val="0"/>
          <w:marBottom w:val="0"/>
          <w:divBdr>
            <w:top w:val="none" w:sz="0" w:space="0" w:color="auto"/>
            <w:left w:val="none" w:sz="0" w:space="0" w:color="auto"/>
            <w:bottom w:val="none" w:sz="0" w:space="0" w:color="auto"/>
            <w:right w:val="none" w:sz="0" w:space="0" w:color="auto"/>
          </w:divBdr>
        </w:div>
        <w:div w:id="303437863">
          <w:marLeft w:val="0"/>
          <w:marRight w:val="0"/>
          <w:marTop w:val="0"/>
          <w:marBottom w:val="0"/>
          <w:divBdr>
            <w:top w:val="none" w:sz="0" w:space="0" w:color="auto"/>
            <w:left w:val="none" w:sz="0" w:space="0" w:color="auto"/>
            <w:bottom w:val="none" w:sz="0" w:space="0" w:color="auto"/>
            <w:right w:val="none" w:sz="0" w:space="0" w:color="auto"/>
          </w:divBdr>
        </w:div>
        <w:div w:id="658382598">
          <w:marLeft w:val="0"/>
          <w:marRight w:val="0"/>
          <w:marTop w:val="0"/>
          <w:marBottom w:val="0"/>
          <w:divBdr>
            <w:top w:val="none" w:sz="0" w:space="0" w:color="auto"/>
            <w:left w:val="none" w:sz="0" w:space="0" w:color="auto"/>
            <w:bottom w:val="none" w:sz="0" w:space="0" w:color="auto"/>
            <w:right w:val="none" w:sz="0" w:space="0" w:color="auto"/>
          </w:divBdr>
        </w:div>
      </w:divsChild>
    </w:div>
    <w:div w:id="1677420603">
      <w:bodyDiv w:val="1"/>
      <w:marLeft w:val="0"/>
      <w:marRight w:val="0"/>
      <w:marTop w:val="0"/>
      <w:marBottom w:val="0"/>
      <w:divBdr>
        <w:top w:val="none" w:sz="0" w:space="0" w:color="auto"/>
        <w:left w:val="none" w:sz="0" w:space="0" w:color="auto"/>
        <w:bottom w:val="none" w:sz="0" w:space="0" w:color="auto"/>
        <w:right w:val="none" w:sz="0" w:space="0" w:color="auto"/>
      </w:divBdr>
      <w:divsChild>
        <w:div w:id="121118923">
          <w:marLeft w:val="0"/>
          <w:marRight w:val="0"/>
          <w:marTop w:val="0"/>
          <w:marBottom w:val="0"/>
          <w:divBdr>
            <w:top w:val="none" w:sz="0" w:space="0" w:color="auto"/>
            <w:left w:val="none" w:sz="0" w:space="0" w:color="auto"/>
            <w:bottom w:val="none" w:sz="0" w:space="0" w:color="auto"/>
            <w:right w:val="none" w:sz="0" w:space="0" w:color="auto"/>
          </w:divBdr>
        </w:div>
        <w:div w:id="728310578">
          <w:marLeft w:val="0"/>
          <w:marRight w:val="0"/>
          <w:marTop w:val="0"/>
          <w:marBottom w:val="0"/>
          <w:divBdr>
            <w:top w:val="none" w:sz="0" w:space="0" w:color="auto"/>
            <w:left w:val="none" w:sz="0" w:space="0" w:color="auto"/>
            <w:bottom w:val="none" w:sz="0" w:space="0" w:color="auto"/>
            <w:right w:val="none" w:sz="0" w:space="0" w:color="auto"/>
          </w:divBdr>
        </w:div>
        <w:div w:id="1305768243">
          <w:marLeft w:val="0"/>
          <w:marRight w:val="0"/>
          <w:marTop w:val="0"/>
          <w:marBottom w:val="0"/>
          <w:divBdr>
            <w:top w:val="none" w:sz="0" w:space="0" w:color="auto"/>
            <w:left w:val="none" w:sz="0" w:space="0" w:color="auto"/>
            <w:bottom w:val="none" w:sz="0" w:space="0" w:color="auto"/>
            <w:right w:val="none" w:sz="0" w:space="0" w:color="auto"/>
          </w:divBdr>
        </w:div>
      </w:divsChild>
    </w:div>
    <w:div w:id="1813326282">
      <w:bodyDiv w:val="1"/>
      <w:marLeft w:val="0"/>
      <w:marRight w:val="0"/>
      <w:marTop w:val="0"/>
      <w:marBottom w:val="0"/>
      <w:divBdr>
        <w:top w:val="none" w:sz="0" w:space="0" w:color="auto"/>
        <w:left w:val="none" w:sz="0" w:space="0" w:color="auto"/>
        <w:bottom w:val="none" w:sz="0" w:space="0" w:color="auto"/>
        <w:right w:val="none" w:sz="0" w:space="0" w:color="auto"/>
      </w:divBdr>
    </w:div>
    <w:div w:id="2012679764">
      <w:bodyDiv w:val="1"/>
      <w:marLeft w:val="0"/>
      <w:marRight w:val="0"/>
      <w:marTop w:val="0"/>
      <w:marBottom w:val="0"/>
      <w:divBdr>
        <w:top w:val="none" w:sz="0" w:space="0" w:color="auto"/>
        <w:left w:val="none" w:sz="0" w:space="0" w:color="auto"/>
        <w:bottom w:val="none" w:sz="0" w:space="0" w:color="auto"/>
        <w:right w:val="none" w:sz="0" w:space="0" w:color="auto"/>
      </w:divBdr>
      <w:divsChild>
        <w:div w:id="997657684">
          <w:marLeft w:val="0"/>
          <w:marRight w:val="0"/>
          <w:marTop w:val="0"/>
          <w:marBottom w:val="0"/>
          <w:divBdr>
            <w:top w:val="none" w:sz="0" w:space="0" w:color="auto"/>
            <w:left w:val="none" w:sz="0" w:space="0" w:color="auto"/>
            <w:bottom w:val="none" w:sz="0" w:space="0" w:color="auto"/>
            <w:right w:val="none" w:sz="0" w:space="0" w:color="auto"/>
          </w:divBdr>
        </w:div>
        <w:div w:id="2092122071">
          <w:marLeft w:val="0"/>
          <w:marRight w:val="0"/>
          <w:marTop w:val="0"/>
          <w:marBottom w:val="0"/>
          <w:divBdr>
            <w:top w:val="none" w:sz="0" w:space="0" w:color="auto"/>
            <w:left w:val="none" w:sz="0" w:space="0" w:color="auto"/>
            <w:bottom w:val="none" w:sz="0" w:space="0" w:color="auto"/>
            <w:right w:val="none" w:sz="0" w:space="0" w:color="auto"/>
          </w:divBdr>
        </w:div>
        <w:div w:id="954873456">
          <w:marLeft w:val="0"/>
          <w:marRight w:val="0"/>
          <w:marTop w:val="0"/>
          <w:marBottom w:val="0"/>
          <w:divBdr>
            <w:top w:val="none" w:sz="0" w:space="0" w:color="auto"/>
            <w:left w:val="none" w:sz="0" w:space="0" w:color="auto"/>
            <w:bottom w:val="none" w:sz="0" w:space="0" w:color="auto"/>
            <w:right w:val="none" w:sz="0" w:space="0" w:color="auto"/>
          </w:divBdr>
        </w:div>
        <w:div w:id="218060473">
          <w:marLeft w:val="0"/>
          <w:marRight w:val="0"/>
          <w:marTop w:val="0"/>
          <w:marBottom w:val="0"/>
          <w:divBdr>
            <w:top w:val="none" w:sz="0" w:space="0" w:color="auto"/>
            <w:left w:val="none" w:sz="0" w:space="0" w:color="auto"/>
            <w:bottom w:val="none" w:sz="0" w:space="0" w:color="auto"/>
            <w:right w:val="none" w:sz="0" w:space="0" w:color="auto"/>
          </w:divBdr>
        </w:div>
        <w:div w:id="112094381">
          <w:marLeft w:val="0"/>
          <w:marRight w:val="0"/>
          <w:marTop w:val="0"/>
          <w:marBottom w:val="0"/>
          <w:divBdr>
            <w:top w:val="none" w:sz="0" w:space="0" w:color="auto"/>
            <w:left w:val="none" w:sz="0" w:space="0" w:color="auto"/>
            <w:bottom w:val="none" w:sz="0" w:space="0" w:color="auto"/>
            <w:right w:val="none" w:sz="0" w:space="0" w:color="auto"/>
          </w:divBdr>
        </w:div>
        <w:div w:id="1605307294">
          <w:marLeft w:val="0"/>
          <w:marRight w:val="0"/>
          <w:marTop w:val="0"/>
          <w:marBottom w:val="0"/>
          <w:divBdr>
            <w:top w:val="none" w:sz="0" w:space="0" w:color="auto"/>
            <w:left w:val="none" w:sz="0" w:space="0" w:color="auto"/>
            <w:bottom w:val="none" w:sz="0" w:space="0" w:color="auto"/>
            <w:right w:val="none" w:sz="0" w:space="0" w:color="auto"/>
          </w:divBdr>
        </w:div>
        <w:div w:id="1211110503">
          <w:marLeft w:val="0"/>
          <w:marRight w:val="0"/>
          <w:marTop w:val="0"/>
          <w:marBottom w:val="0"/>
          <w:divBdr>
            <w:top w:val="none" w:sz="0" w:space="0" w:color="auto"/>
            <w:left w:val="none" w:sz="0" w:space="0" w:color="auto"/>
            <w:bottom w:val="none" w:sz="0" w:space="0" w:color="auto"/>
            <w:right w:val="none" w:sz="0" w:space="0" w:color="auto"/>
          </w:divBdr>
        </w:div>
        <w:div w:id="1212771703">
          <w:marLeft w:val="0"/>
          <w:marRight w:val="0"/>
          <w:marTop w:val="0"/>
          <w:marBottom w:val="0"/>
          <w:divBdr>
            <w:top w:val="none" w:sz="0" w:space="0" w:color="auto"/>
            <w:left w:val="none" w:sz="0" w:space="0" w:color="auto"/>
            <w:bottom w:val="none" w:sz="0" w:space="0" w:color="auto"/>
            <w:right w:val="none" w:sz="0" w:space="0" w:color="auto"/>
          </w:divBdr>
        </w:div>
        <w:div w:id="8087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cp:lastModifiedBy>
  <cp:revision>17</cp:revision>
  <cp:lastPrinted>2016-03-01T12:55:00Z</cp:lastPrinted>
  <dcterms:created xsi:type="dcterms:W3CDTF">2016-05-20T07:16:00Z</dcterms:created>
  <dcterms:modified xsi:type="dcterms:W3CDTF">2016-08-14T10:28:00Z</dcterms:modified>
</cp:coreProperties>
</file>