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CA322" w14:textId="37CBCD29" w:rsidR="00114836" w:rsidRDefault="00606404" w:rsidP="00BD23B7">
      <w:pPr>
        <w:jc w:val="both"/>
      </w:pPr>
      <w:r w:rsidRPr="00502385">
        <w:rPr>
          <w:rFonts w:ascii="Cambria" w:hAnsi="Cambria"/>
          <w:b/>
          <w:bCs/>
          <w:noProof/>
          <w:color w:val="2F5496" w:themeColor="accent1" w:themeShade="BF"/>
          <w:sz w:val="36"/>
          <w:szCs w:val="36"/>
          <w:lang w:val="de-DE" w:eastAsia="de-DE"/>
        </w:rPr>
        <w:drawing>
          <wp:inline distT="0" distB="0" distL="0" distR="0" wp14:anchorId="1E5F9E9C" wp14:editId="0AF724CE">
            <wp:extent cx="1905000" cy="1035202"/>
            <wp:effectExtent l="0" t="0" r="0" b="0"/>
            <wp:docPr id="1" name="Grafik 1" descr="AECM-ENG_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M-ENG_01-0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786"/>
                    <a:stretch/>
                  </pic:blipFill>
                  <pic:spPr bwMode="auto">
                    <a:xfrm>
                      <a:off x="0" y="0"/>
                      <a:ext cx="1926368" cy="1046814"/>
                    </a:xfrm>
                    <a:prstGeom prst="rect">
                      <a:avLst/>
                    </a:prstGeom>
                    <a:noFill/>
                    <a:ln>
                      <a:noFill/>
                    </a:ln>
                    <a:extLst>
                      <a:ext uri="{53640926-AAD7-44D8-BBD7-CCE9431645EC}">
                        <a14:shadowObscured xmlns:a14="http://schemas.microsoft.com/office/drawing/2010/main"/>
                      </a:ext>
                    </a:extLst>
                  </pic:spPr>
                </pic:pic>
              </a:graphicData>
            </a:graphic>
          </wp:inline>
        </w:drawing>
      </w:r>
    </w:p>
    <w:p w14:paraId="664707B4" w14:textId="77777777" w:rsidR="00C87663" w:rsidRDefault="00C87663" w:rsidP="00BD23B7">
      <w:pPr>
        <w:jc w:val="both"/>
      </w:pPr>
    </w:p>
    <w:p w14:paraId="4EC0AB85" w14:textId="3771DA23" w:rsidR="00EE2407" w:rsidRPr="007610B5" w:rsidRDefault="0033058C" w:rsidP="003B2B87">
      <w:pPr>
        <w:spacing w:after="120" w:line="276" w:lineRule="auto"/>
        <w:jc w:val="center"/>
        <w:rPr>
          <w:color w:val="002060"/>
          <w:sz w:val="24"/>
          <w:szCs w:val="24"/>
        </w:rPr>
      </w:pPr>
      <w:r w:rsidRPr="007610B5">
        <w:rPr>
          <w:rStyle w:val="fontstyle01"/>
          <w:rFonts w:ascii="Cambria" w:hAnsi="Cambria"/>
          <w:b/>
          <w:bCs/>
          <w:color w:val="002060"/>
          <w:sz w:val="40"/>
          <w:szCs w:val="40"/>
        </w:rPr>
        <w:t xml:space="preserve">AECM </w:t>
      </w:r>
      <w:r w:rsidR="00F73EDF">
        <w:rPr>
          <w:rStyle w:val="fontstyle01"/>
          <w:rFonts w:ascii="Cambria" w:hAnsi="Cambria"/>
          <w:b/>
          <w:bCs/>
          <w:color w:val="002060"/>
          <w:sz w:val="40"/>
          <w:szCs w:val="40"/>
        </w:rPr>
        <w:t xml:space="preserve">comments on </w:t>
      </w:r>
      <w:r w:rsidR="00DB7175">
        <w:rPr>
          <w:rStyle w:val="fontstyle01"/>
          <w:rFonts w:ascii="Cambria" w:hAnsi="Cambria"/>
          <w:b/>
          <w:bCs/>
          <w:color w:val="002060"/>
          <w:sz w:val="40"/>
          <w:szCs w:val="40"/>
        </w:rPr>
        <w:t>mitigating</w:t>
      </w:r>
      <w:r w:rsidR="00225D18">
        <w:rPr>
          <w:rStyle w:val="fontstyle01"/>
          <w:rFonts w:ascii="Cambria" w:hAnsi="Cambria"/>
          <w:b/>
          <w:bCs/>
          <w:color w:val="002060"/>
          <w:sz w:val="40"/>
          <w:szCs w:val="40"/>
        </w:rPr>
        <w:t xml:space="preserve"> the economic effects of the corona outbreak</w:t>
      </w:r>
    </w:p>
    <w:p w14:paraId="0C8D0523" w14:textId="29E2FECB" w:rsidR="00EE2407" w:rsidRDefault="00EE2407" w:rsidP="00DD4E0D">
      <w:pPr>
        <w:spacing w:after="120" w:line="276" w:lineRule="auto"/>
        <w:jc w:val="both"/>
      </w:pPr>
    </w:p>
    <w:p w14:paraId="0455867E" w14:textId="0804E1E7" w:rsidR="00EB7EFF" w:rsidRDefault="00AA3623" w:rsidP="00DD4E0D">
      <w:pPr>
        <w:spacing w:after="120" w:line="276" w:lineRule="auto"/>
        <w:jc w:val="both"/>
      </w:pPr>
      <w:r>
        <w:t>The economic impact of the coronavirus pandemic</w:t>
      </w:r>
      <w:r w:rsidR="00A96F7C">
        <w:t xml:space="preserve"> on SMEs is pervasive and</w:t>
      </w:r>
      <w:r>
        <w:t xml:space="preserve"> can best be fought in joint actions of regional, national and European level. As an annexe to this paper, an overview of measures undertaken by AECM’s members to counteract the economic consequences is added.</w:t>
      </w:r>
    </w:p>
    <w:p w14:paraId="3D7220FA" w14:textId="5F663D0A" w:rsidR="00AA3623" w:rsidRDefault="00AA3623" w:rsidP="00DD4E0D">
      <w:pPr>
        <w:spacing w:after="120" w:line="276" w:lineRule="auto"/>
        <w:jc w:val="both"/>
      </w:pPr>
      <w:r>
        <w:t>From the European level, it is essential that the support</w:t>
      </w:r>
    </w:p>
    <w:p w14:paraId="4BCBF3D7" w14:textId="5B4DAD28" w:rsidR="00AA3623" w:rsidRDefault="00AA3623" w:rsidP="00AA3623">
      <w:pPr>
        <w:pStyle w:val="ListParagraph"/>
        <w:numPr>
          <w:ilvl w:val="0"/>
          <w:numId w:val="16"/>
        </w:numPr>
        <w:spacing w:after="120" w:line="276" w:lineRule="auto"/>
        <w:jc w:val="both"/>
      </w:pPr>
      <w:r>
        <w:t>is provided quickly</w:t>
      </w:r>
      <w:r w:rsidR="00AA4D27">
        <w:t xml:space="preserve"> on a first come first served basis, meaning that geographical balance is of secondary importance</w:t>
      </w:r>
      <w:r w:rsidR="00DD6334">
        <w:t>,</w:t>
      </w:r>
    </w:p>
    <w:p w14:paraId="5DC9C160" w14:textId="5A5468B0" w:rsidR="00AA3623" w:rsidRDefault="00AA3623" w:rsidP="00AA3623">
      <w:pPr>
        <w:pStyle w:val="ListParagraph"/>
        <w:numPr>
          <w:ilvl w:val="0"/>
          <w:numId w:val="16"/>
        </w:numPr>
        <w:spacing w:after="120" w:line="276" w:lineRule="auto"/>
        <w:jc w:val="both"/>
      </w:pPr>
      <w:r>
        <w:t>is provided in an easy to comply with way, i.e. standardized</w:t>
      </w:r>
      <w:r w:rsidR="00AA4D27">
        <w:t xml:space="preserve"> to comply with the high number of demands for guarantees</w:t>
      </w:r>
      <w:r w:rsidR="00DD6334">
        <w:t>,</w:t>
      </w:r>
    </w:p>
    <w:p w14:paraId="080A296C" w14:textId="7D8C03FF" w:rsidR="00B23A1A" w:rsidRDefault="00AA3623" w:rsidP="00AA3623">
      <w:pPr>
        <w:pStyle w:val="ListParagraph"/>
        <w:numPr>
          <w:ilvl w:val="0"/>
          <w:numId w:val="16"/>
        </w:numPr>
        <w:spacing w:after="120" w:line="276" w:lineRule="auto"/>
        <w:jc w:val="both"/>
      </w:pPr>
      <w:r>
        <w:t>is provided in a comprehensive way since all SMEs suffer from the consequences</w:t>
      </w:r>
      <w:r w:rsidR="00A96F7C">
        <w:t>. This is valid content-wise as well as regarding</w:t>
      </w:r>
      <w:r w:rsidR="00DD6334">
        <w:t xml:space="preserve"> the</w:t>
      </w:r>
      <w:r w:rsidR="00A96F7C">
        <w:t xml:space="preserve"> funding: if no new money is available, reallocation of funding is crucial</w:t>
      </w:r>
      <w:r w:rsidR="00AA4D27">
        <w:t xml:space="preserve"> since the guarantee capacity must be increased in accordance with the increasing demand</w:t>
      </w:r>
      <w:r w:rsidR="00C87663">
        <w:t>,</w:t>
      </w:r>
      <w:r w:rsidR="00B23A1A">
        <w:t xml:space="preserve"> and</w:t>
      </w:r>
    </w:p>
    <w:p w14:paraId="194AFE4B" w14:textId="39FFC07A" w:rsidR="00AA3623" w:rsidRDefault="00B23A1A" w:rsidP="00AA3623">
      <w:pPr>
        <w:pStyle w:val="ListParagraph"/>
        <w:numPr>
          <w:ilvl w:val="0"/>
          <w:numId w:val="16"/>
        </w:numPr>
        <w:spacing w:after="120" w:line="276" w:lineRule="auto"/>
        <w:jc w:val="both"/>
      </w:pPr>
      <w:r>
        <w:t>is provided in a flexible way since further developments cannot be predicted by anyone at this stage</w:t>
      </w:r>
      <w:r w:rsidR="00AA4D27">
        <w:t>.</w:t>
      </w:r>
    </w:p>
    <w:p w14:paraId="5697C53D" w14:textId="77777777" w:rsidR="00AA3623" w:rsidRPr="00F5327D" w:rsidRDefault="00AA3623" w:rsidP="00DD4E0D">
      <w:pPr>
        <w:spacing w:after="120" w:line="276" w:lineRule="auto"/>
        <w:jc w:val="both"/>
        <w:rPr>
          <w:sz w:val="2"/>
          <w:szCs w:val="2"/>
        </w:rPr>
      </w:pPr>
    </w:p>
    <w:p w14:paraId="012EFBA7" w14:textId="11DBE4A0" w:rsidR="00AA3623" w:rsidRDefault="00AA3623" w:rsidP="00DD4E0D">
      <w:pPr>
        <w:spacing w:after="120" w:line="276" w:lineRule="auto"/>
        <w:jc w:val="both"/>
      </w:pPr>
      <w:r>
        <w:t>From AECM’s point of view, the EU level should undertake the following actions</w:t>
      </w:r>
      <w:r w:rsidR="00A96F7C">
        <w:t xml:space="preserve"> to help SMEs through this rapidly evolving situation</w:t>
      </w:r>
      <w:r>
        <w:t>:</w:t>
      </w:r>
    </w:p>
    <w:p w14:paraId="3BDE9588" w14:textId="77777777" w:rsidR="00C87663" w:rsidRPr="00F5327D" w:rsidRDefault="00C87663" w:rsidP="00DD4E0D">
      <w:pPr>
        <w:spacing w:after="120" w:line="276" w:lineRule="auto"/>
        <w:jc w:val="both"/>
        <w:rPr>
          <w:sz w:val="10"/>
          <w:szCs w:val="10"/>
        </w:rPr>
      </w:pPr>
    </w:p>
    <w:p w14:paraId="05E21400" w14:textId="77777777" w:rsidR="00356D2D" w:rsidRPr="00356D2D" w:rsidRDefault="00AA3623" w:rsidP="00356D2D">
      <w:pPr>
        <w:spacing w:after="120" w:line="276" w:lineRule="auto"/>
        <w:jc w:val="both"/>
        <w:rPr>
          <w:b/>
          <w:bCs/>
        </w:rPr>
      </w:pPr>
      <w:r w:rsidRPr="00356D2D">
        <w:rPr>
          <w:b/>
          <w:bCs/>
        </w:rPr>
        <w:t xml:space="preserve">State aid: </w:t>
      </w:r>
    </w:p>
    <w:p w14:paraId="2B987174" w14:textId="66EAE49A" w:rsidR="00AA3623" w:rsidRDefault="00356D2D" w:rsidP="00356D2D">
      <w:pPr>
        <w:spacing w:after="120" w:line="276" w:lineRule="auto"/>
        <w:jc w:val="both"/>
      </w:pPr>
      <w:r>
        <w:t>A</w:t>
      </w:r>
      <w:r w:rsidR="00AA3623">
        <w:t xml:space="preserve"> temporary framework is needed like during the financial crisis </w:t>
      </w:r>
      <w:r w:rsidR="00DB7175">
        <w:t>providing guarantee institutions with enlarged possibilities to support SMEs’ access to finance. To this end,</w:t>
      </w:r>
    </w:p>
    <w:p w14:paraId="43153C03" w14:textId="2388B774" w:rsidR="00AA3623" w:rsidRPr="00DD6334" w:rsidRDefault="00DB7175" w:rsidP="00356D2D">
      <w:pPr>
        <w:pStyle w:val="ListParagraph"/>
        <w:numPr>
          <w:ilvl w:val="0"/>
          <w:numId w:val="16"/>
        </w:numPr>
        <w:spacing w:after="120" w:line="276" w:lineRule="auto"/>
        <w:jc w:val="both"/>
      </w:pPr>
      <w:r w:rsidRPr="00DB7175">
        <w:rPr>
          <w:lang w:val="en-US"/>
        </w:rPr>
        <w:t xml:space="preserve">the </w:t>
      </w:r>
      <w:r w:rsidRPr="009F3774">
        <w:rPr>
          <w:i/>
          <w:iCs/>
          <w:lang w:val="en-US"/>
        </w:rPr>
        <w:t>de minimis</w:t>
      </w:r>
      <w:r w:rsidRPr="00DB7175">
        <w:rPr>
          <w:lang w:val="en-US"/>
        </w:rPr>
        <w:t xml:space="preserve"> threshold should be</w:t>
      </w:r>
      <w:r>
        <w:rPr>
          <w:lang w:val="en-US"/>
        </w:rPr>
        <w:t xml:space="preserve"> significantly</w:t>
      </w:r>
      <w:r w:rsidRPr="00DB7175">
        <w:rPr>
          <w:lang w:val="en-US"/>
        </w:rPr>
        <w:t xml:space="preserve"> increased whereas the aid should be considered as transparent irrespective of the </w:t>
      </w:r>
      <w:r w:rsidRPr="00DD6334">
        <w:rPr>
          <w:lang w:val="en-US"/>
        </w:rPr>
        <w:t>applied method of the calculation of the Gross Grant Equivalent (GGE)</w:t>
      </w:r>
      <w:r w:rsidR="00DD6334" w:rsidRPr="00DD6334">
        <w:rPr>
          <w:lang w:val="en-US"/>
        </w:rPr>
        <w:t>,</w:t>
      </w:r>
    </w:p>
    <w:p w14:paraId="51D9F54F" w14:textId="12A3F548" w:rsidR="001C1945" w:rsidRPr="00F5327D" w:rsidRDefault="00EF2DBE" w:rsidP="001C1945">
      <w:pPr>
        <w:pStyle w:val="ListParagraph"/>
        <w:numPr>
          <w:ilvl w:val="0"/>
          <w:numId w:val="31"/>
        </w:numPr>
        <w:spacing w:after="120" w:line="276" w:lineRule="auto"/>
        <w:jc w:val="both"/>
        <w:rPr>
          <w:rFonts w:eastAsia="Calibri" w:cs="Arial"/>
        </w:rPr>
      </w:pPr>
      <w:r w:rsidRPr="00F5327D">
        <w:rPr>
          <w:rFonts w:eastAsia="Calibri" w:cs="Arial"/>
        </w:rPr>
        <w:t xml:space="preserve">the guarantee coverage for bank loans should be increased up to 90% </w:t>
      </w:r>
      <w:r w:rsidR="001C1945" w:rsidRPr="00F5327D">
        <w:rPr>
          <w:rFonts w:eastAsia="Calibri" w:cs="Arial"/>
        </w:rPr>
        <w:t>for loans of up to 7 years so as to support working capital needs of companies and also their rebound on a longer term</w:t>
      </w:r>
      <w:r w:rsidR="00F5327D">
        <w:rPr>
          <w:rFonts w:eastAsia="Calibri" w:cs="Arial"/>
        </w:rPr>
        <w:t>,</w:t>
      </w:r>
    </w:p>
    <w:p w14:paraId="4B97664D" w14:textId="55A0F368" w:rsidR="00EF2DBE" w:rsidRPr="00DD6334" w:rsidRDefault="00EF2DBE" w:rsidP="00EF2DBE">
      <w:pPr>
        <w:pStyle w:val="ListParagraph"/>
        <w:numPr>
          <w:ilvl w:val="0"/>
          <w:numId w:val="16"/>
        </w:numPr>
        <w:spacing w:after="120" w:line="276" w:lineRule="auto"/>
        <w:jc w:val="both"/>
      </w:pPr>
      <w:r w:rsidRPr="00F5327D">
        <w:rPr>
          <w:rFonts w:eastAsia="Calibri" w:cs="Arial"/>
        </w:rPr>
        <w:t>it should be possible that structural funds could be used as co-financing tools in the temporary</w:t>
      </w:r>
      <w:r w:rsidRPr="00DD6334">
        <w:rPr>
          <w:rFonts w:eastAsia="Calibri" w:cs="Arial"/>
        </w:rPr>
        <w:t xml:space="preserve"> state aid framework</w:t>
      </w:r>
      <w:r w:rsidR="00DD6334" w:rsidRPr="00DD6334">
        <w:rPr>
          <w:rFonts w:eastAsia="Calibri" w:cs="Arial"/>
        </w:rPr>
        <w:t>,</w:t>
      </w:r>
    </w:p>
    <w:p w14:paraId="601CF08E" w14:textId="075FD2F5" w:rsidR="00B23A1A" w:rsidRPr="00DD6334" w:rsidRDefault="00B23A1A" w:rsidP="005E46DF">
      <w:pPr>
        <w:pStyle w:val="ListParagraph"/>
        <w:numPr>
          <w:ilvl w:val="0"/>
          <w:numId w:val="16"/>
        </w:numPr>
        <w:spacing w:after="120" w:line="276" w:lineRule="auto"/>
        <w:jc w:val="both"/>
        <w:rPr>
          <w:lang w:val="en-US"/>
        </w:rPr>
      </w:pPr>
      <w:r w:rsidRPr="00DD6334">
        <w:t>a</w:t>
      </w:r>
      <w:proofErr w:type="spellStart"/>
      <w:r w:rsidR="00DB7175" w:rsidRPr="00DD6334">
        <w:rPr>
          <w:lang w:val="en-US"/>
        </w:rPr>
        <w:t>t</w:t>
      </w:r>
      <w:proofErr w:type="spellEnd"/>
      <w:r w:rsidR="00DB7175" w:rsidRPr="00DD6334">
        <w:rPr>
          <w:lang w:val="en-US"/>
        </w:rPr>
        <w:t xml:space="preserve"> least in relation to SMEs, </w:t>
      </w:r>
      <w:r w:rsidRPr="00DD6334">
        <w:rPr>
          <w:lang w:val="en-US"/>
        </w:rPr>
        <w:t>the</w:t>
      </w:r>
      <w:r w:rsidR="00DB7175" w:rsidRPr="00DD6334">
        <w:rPr>
          <w:lang w:val="en-US"/>
        </w:rPr>
        <w:t xml:space="preserve"> charging</w:t>
      </w:r>
      <w:r w:rsidRPr="00DD6334">
        <w:rPr>
          <w:lang w:val="en-US"/>
        </w:rPr>
        <w:t xml:space="preserve"> of</w:t>
      </w:r>
      <w:r w:rsidR="00DB7175" w:rsidRPr="00DD6334">
        <w:rPr>
          <w:lang w:val="en-US"/>
        </w:rPr>
        <w:t xml:space="preserve"> guarantee fees</w:t>
      </w:r>
      <w:r w:rsidRPr="00DD6334">
        <w:rPr>
          <w:lang w:val="en-US"/>
        </w:rPr>
        <w:t xml:space="preserve"> should no longer be required</w:t>
      </w:r>
      <w:r w:rsidR="00DD6334" w:rsidRPr="00DD6334">
        <w:rPr>
          <w:lang w:val="en-US"/>
        </w:rPr>
        <w:t>,</w:t>
      </w:r>
    </w:p>
    <w:p w14:paraId="59A045DF" w14:textId="07626C61" w:rsidR="00B23A1A" w:rsidRDefault="00B23A1A" w:rsidP="00B23A1A">
      <w:pPr>
        <w:pStyle w:val="ListParagraph"/>
        <w:numPr>
          <w:ilvl w:val="0"/>
          <w:numId w:val="16"/>
        </w:numPr>
        <w:spacing w:after="120" w:line="276" w:lineRule="auto"/>
        <w:jc w:val="both"/>
        <w:rPr>
          <w:lang w:val="en-US"/>
        </w:rPr>
      </w:pPr>
      <w:r>
        <w:rPr>
          <w:lang w:val="en-US"/>
        </w:rPr>
        <w:t xml:space="preserve">the duration permitted </w:t>
      </w:r>
      <w:r w:rsidR="00DB7175" w:rsidRPr="00DB7175">
        <w:rPr>
          <w:lang w:val="en-US"/>
        </w:rPr>
        <w:t>should take into account also the fact that the default of the SMEs may occur in the year n+2 or n+3</w:t>
      </w:r>
      <w:r w:rsidR="00DD6334">
        <w:rPr>
          <w:lang w:val="en-US"/>
        </w:rPr>
        <w:t>,</w:t>
      </w:r>
    </w:p>
    <w:p w14:paraId="4C6E04F6" w14:textId="7F8247B1" w:rsidR="00DB7175" w:rsidRDefault="00DB7175" w:rsidP="00B23A1A">
      <w:pPr>
        <w:pStyle w:val="ListParagraph"/>
        <w:numPr>
          <w:ilvl w:val="0"/>
          <w:numId w:val="16"/>
        </w:numPr>
        <w:spacing w:after="120" w:line="276" w:lineRule="auto"/>
        <w:jc w:val="both"/>
        <w:rPr>
          <w:lang w:val="en-US"/>
        </w:rPr>
      </w:pPr>
      <w:r w:rsidRPr="00DB7175">
        <w:rPr>
          <w:lang w:val="en-US"/>
        </w:rPr>
        <w:t>there should be no limit as to the guarantee rate</w:t>
      </w:r>
      <w:r w:rsidR="00C87663">
        <w:rPr>
          <w:lang w:val="en-US"/>
        </w:rPr>
        <w:t>,</w:t>
      </w:r>
      <w:r w:rsidR="00DD6334">
        <w:rPr>
          <w:lang w:val="en-US"/>
        </w:rPr>
        <w:t xml:space="preserve"> and</w:t>
      </w:r>
    </w:p>
    <w:p w14:paraId="7EB7C0A7" w14:textId="4DEA85EC" w:rsidR="00356D2D" w:rsidRPr="00B23A1A" w:rsidRDefault="009F3774" w:rsidP="00DB7175">
      <w:pPr>
        <w:pStyle w:val="ListParagraph"/>
        <w:numPr>
          <w:ilvl w:val="0"/>
          <w:numId w:val="16"/>
        </w:numPr>
        <w:spacing w:after="120" w:line="276" w:lineRule="auto"/>
        <w:jc w:val="both"/>
        <w:rPr>
          <w:lang w:val="en-US"/>
        </w:rPr>
      </w:pPr>
      <w:r>
        <w:rPr>
          <w:lang w:val="en-US"/>
        </w:rPr>
        <w:t>t</w:t>
      </w:r>
      <w:r w:rsidR="00DB7175" w:rsidRPr="00B23A1A">
        <w:rPr>
          <w:lang w:val="en-US"/>
        </w:rPr>
        <w:t xml:space="preserve">he application period should take into consideration the bureaucracy burden often faced by SMEs and therefore, be long enough in order to allow SMEs to make use of the instrument.  </w:t>
      </w:r>
    </w:p>
    <w:p w14:paraId="584395AA" w14:textId="77777777" w:rsidR="00DD6334" w:rsidRDefault="00DD6334" w:rsidP="00356D2D">
      <w:pPr>
        <w:spacing w:after="120" w:line="276" w:lineRule="auto"/>
        <w:jc w:val="both"/>
        <w:rPr>
          <w:b/>
          <w:bCs/>
        </w:rPr>
      </w:pPr>
    </w:p>
    <w:p w14:paraId="5299D966" w14:textId="14DF5EC6" w:rsidR="00356D2D" w:rsidRPr="00356D2D" w:rsidRDefault="00356D2D" w:rsidP="00356D2D">
      <w:pPr>
        <w:spacing w:after="120" w:line="276" w:lineRule="auto"/>
        <w:jc w:val="both"/>
        <w:rPr>
          <w:b/>
          <w:bCs/>
        </w:rPr>
      </w:pPr>
      <w:r w:rsidRPr="00356D2D">
        <w:rPr>
          <w:b/>
          <w:bCs/>
        </w:rPr>
        <w:t>Financial instruments:</w:t>
      </w:r>
    </w:p>
    <w:p w14:paraId="0EA23754" w14:textId="3B8BBB5A" w:rsidR="00356D2D" w:rsidRDefault="00356D2D" w:rsidP="00356D2D">
      <w:pPr>
        <w:spacing w:after="120" w:line="276" w:lineRule="auto"/>
        <w:jc w:val="both"/>
      </w:pPr>
      <w:r>
        <w:t xml:space="preserve">20 members of AECM are using the COSME loan guarantee facility, 10 are financial intermediaries for the </w:t>
      </w:r>
      <w:proofErr w:type="spellStart"/>
      <w:r>
        <w:t>InnovFin</w:t>
      </w:r>
      <w:proofErr w:type="spellEnd"/>
      <w:r>
        <w:t xml:space="preserve"> SMEG and 17 are using financial instruments under shared management from structural funds. To speed up the procedure, these exceptional times require exceptional measure. Thus, we would welcome the following measures</w:t>
      </w:r>
      <w:r w:rsidR="00EF2DBE">
        <w:t xml:space="preserve"> which aim at broadening the scope of existing instruments to allow for higher risk-taking</w:t>
      </w:r>
      <w:r>
        <w:t>:</w:t>
      </w:r>
    </w:p>
    <w:p w14:paraId="1B2841F7" w14:textId="3E222114" w:rsidR="00356D2D" w:rsidRDefault="009F3774" w:rsidP="00356D2D">
      <w:pPr>
        <w:pStyle w:val="ListParagraph"/>
        <w:numPr>
          <w:ilvl w:val="0"/>
          <w:numId w:val="16"/>
        </w:numPr>
        <w:spacing w:after="120" w:line="276" w:lineRule="auto"/>
        <w:jc w:val="both"/>
      </w:pPr>
      <w:r>
        <w:t>n</w:t>
      </w:r>
      <w:r w:rsidR="00356D2D">
        <w:t>o</w:t>
      </w:r>
      <w:r w:rsidR="00B23A1A">
        <w:t xml:space="preserve"> time-consuming</w:t>
      </w:r>
      <w:r w:rsidR="00356D2D">
        <w:t xml:space="preserve"> change of the legal base</w:t>
      </w:r>
      <w:r w:rsidR="000D67CD">
        <w:t xml:space="preserve"> </w:t>
      </w:r>
      <w:r w:rsidR="00B23A1A">
        <w:t xml:space="preserve">but an interpretation </w:t>
      </w:r>
      <w:r w:rsidR="000D67CD">
        <w:t xml:space="preserve">in the widest </w:t>
      </w:r>
      <w:r w:rsidR="00B23A1A">
        <w:t xml:space="preserve">possible </w:t>
      </w:r>
      <w:r w:rsidR="000D67CD">
        <w:t>and in a results-driven way</w:t>
      </w:r>
      <w:r>
        <w:t xml:space="preserve">; if </w:t>
      </w:r>
      <w:r w:rsidR="00AA4D27">
        <w:t xml:space="preserve">new </w:t>
      </w:r>
      <w:r w:rsidR="00356D2D">
        <w:t>calls</w:t>
      </w:r>
      <w:r>
        <w:t xml:space="preserve"> cannot be avoided, there should be a simplified fast-track procedure put in place; neither any </w:t>
      </w:r>
      <w:r w:rsidR="00502BF2">
        <w:t>c</w:t>
      </w:r>
      <w:r w:rsidR="00AA4D27">
        <w:t>hanging of existing contracts</w:t>
      </w:r>
      <w:r>
        <w:t xml:space="preserve"> should be asked for</w:t>
      </w:r>
      <w:r w:rsidR="00AA4D27">
        <w:t>, no</w:t>
      </w:r>
      <w:r>
        <w:t>r</w:t>
      </w:r>
      <w:r w:rsidR="00AA4D27">
        <w:t xml:space="preserve"> </w:t>
      </w:r>
      <w:r>
        <w:t xml:space="preserve">the </w:t>
      </w:r>
      <w:r w:rsidR="00AA4D27">
        <w:t>requirement to conclude new contracts,</w:t>
      </w:r>
      <w:r w:rsidR="00356D2D">
        <w:t xml:space="preserve"> no eligibility criteria but fast and result-oriented processing</w:t>
      </w:r>
      <w:r>
        <w:t>;</w:t>
      </w:r>
    </w:p>
    <w:p w14:paraId="19E99089" w14:textId="2985EFA9" w:rsidR="00AA3623" w:rsidRDefault="00356D2D" w:rsidP="00C87938">
      <w:pPr>
        <w:pStyle w:val="ListParagraph"/>
        <w:numPr>
          <w:ilvl w:val="0"/>
          <w:numId w:val="16"/>
        </w:numPr>
        <w:spacing w:after="120" w:line="276" w:lineRule="auto"/>
        <w:jc w:val="both"/>
      </w:pPr>
      <w:r>
        <w:t>all</w:t>
      </w:r>
      <w:r w:rsidR="00AA3623">
        <w:t xml:space="preserve">ow for transactions with a duration below 12 months (e.g. 1 month) </w:t>
      </w:r>
      <w:r w:rsidR="00AA4D27">
        <w:t>to meet the demands for short-term guarantees</w:t>
      </w:r>
      <w:r w:rsidR="009F3774">
        <w:t>;</w:t>
      </w:r>
      <w:r w:rsidR="00502BF2">
        <w:t xml:space="preserve"> </w:t>
      </w:r>
    </w:p>
    <w:p w14:paraId="305AA180" w14:textId="4CA691CC" w:rsidR="00AA3623" w:rsidRDefault="00AA3623" w:rsidP="00AA3623">
      <w:pPr>
        <w:pStyle w:val="ListParagraph"/>
        <w:numPr>
          <w:ilvl w:val="0"/>
          <w:numId w:val="16"/>
        </w:numPr>
        <w:spacing w:after="120" w:line="276" w:lineRule="auto"/>
        <w:jc w:val="both"/>
      </w:pPr>
      <w:r>
        <w:t xml:space="preserve">allow for refinancing </w:t>
      </w:r>
      <w:r w:rsidR="00356D2D">
        <w:t xml:space="preserve">of </w:t>
      </w:r>
      <w:r>
        <w:t>existing credit exposures</w:t>
      </w:r>
      <w:r w:rsidR="00502BF2">
        <w:t xml:space="preserve"> </w:t>
      </w:r>
      <w:r w:rsidR="00502BF2" w:rsidRPr="00E85F29">
        <w:t xml:space="preserve">meaning that both, COSME LGF and </w:t>
      </w:r>
      <w:proofErr w:type="spellStart"/>
      <w:r w:rsidR="00502BF2" w:rsidRPr="00E85F29">
        <w:t>InnovFin</w:t>
      </w:r>
      <w:proofErr w:type="spellEnd"/>
      <w:r w:rsidR="00502BF2" w:rsidRPr="00E85F29">
        <w:t xml:space="preserve"> SMEG need to be available to refinance existing short-term working capital loans and overdrafts</w:t>
      </w:r>
      <w:r w:rsidR="009F3774" w:rsidRPr="00E85F29">
        <w:t>;</w:t>
      </w:r>
    </w:p>
    <w:p w14:paraId="1FF27B27" w14:textId="4702D32C" w:rsidR="00AA3623" w:rsidRDefault="00AA3623" w:rsidP="00AA3623">
      <w:pPr>
        <w:pStyle w:val="ListParagraph"/>
        <w:numPr>
          <w:ilvl w:val="0"/>
          <w:numId w:val="16"/>
        </w:numPr>
        <w:spacing w:after="120" w:line="276" w:lineRule="auto"/>
        <w:jc w:val="both"/>
      </w:pPr>
      <w:r>
        <w:t>increase the guarantee rate</w:t>
      </w:r>
      <w:r w:rsidR="00AA4D27">
        <w:t xml:space="preserve"> / percentage</w:t>
      </w:r>
      <w:r>
        <w:t xml:space="preserve"> of EU counter-guarantees </w:t>
      </w:r>
      <w:r w:rsidR="00E71DC8">
        <w:t>to 80%</w:t>
      </w:r>
      <w:r w:rsidR="009F3774">
        <w:t>;</w:t>
      </w:r>
    </w:p>
    <w:p w14:paraId="346B3DDE" w14:textId="38C6680C" w:rsidR="00AA3623" w:rsidRDefault="00AA3623" w:rsidP="00AA3623">
      <w:pPr>
        <w:pStyle w:val="ListParagraph"/>
        <w:numPr>
          <w:ilvl w:val="0"/>
          <w:numId w:val="16"/>
        </w:numPr>
        <w:spacing w:after="120" w:line="276" w:lineRule="auto"/>
        <w:jc w:val="both"/>
      </w:pPr>
      <w:r>
        <w:t>allow for rescheduling, restructuring and grace periods</w:t>
      </w:r>
      <w:r w:rsidR="009F3774">
        <w:t>;</w:t>
      </w:r>
      <w:r w:rsidR="00EF2DBE">
        <w:t xml:space="preserve"> more precisely, </w:t>
      </w:r>
      <w:r w:rsidR="00EF2DBE" w:rsidRPr="00EF2DBE">
        <w:t>it</w:t>
      </w:r>
      <w:r w:rsidR="00EF2DBE">
        <w:t xml:space="preserve"> should be</w:t>
      </w:r>
      <w:r w:rsidR="00EF2DBE" w:rsidRPr="00EF2DBE">
        <w:t xml:space="preserve"> possible to provide companies with a grace period</w:t>
      </w:r>
      <w:r w:rsidR="00EF2DBE">
        <w:t xml:space="preserve"> of 6 months</w:t>
      </w:r>
      <w:r w:rsidR="00EF2DBE" w:rsidRPr="00EF2DBE">
        <w:t xml:space="preserve"> for their loan interest under COSME and </w:t>
      </w:r>
      <w:proofErr w:type="spellStart"/>
      <w:r w:rsidR="00EF2DBE" w:rsidRPr="00EF2DBE">
        <w:t>InnovFin</w:t>
      </w:r>
      <w:proofErr w:type="spellEnd"/>
      <w:r w:rsidR="00EF2DBE" w:rsidRPr="00EF2DBE">
        <w:t xml:space="preserve"> while extending the termination date of these contracts with the EIF if necessary</w:t>
      </w:r>
      <w:r w:rsidR="00EF2DBE">
        <w:t>;</w:t>
      </w:r>
    </w:p>
    <w:p w14:paraId="18E2F5A8" w14:textId="25F470B3" w:rsidR="00502BF2" w:rsidRDefault="00502BF2" w:rsidP="00AA3623">
      <w:pPr>
        <w:pStyle w:val="ListParagraph"/>
        <w:numPr>
          <w:ilvl w:val="0"/>
          <w:numId w:val="16"/>
        </w:numPr>
        <w:spacing w:after="120" w:line="276" w:lineRule="auto"/>
        <w:jc w:val="both"/>
      </w:pPr>
      <w:r w:rsidRPr="00E85F29">
        <w:t xml:space="preserve">dropping the innovation criteria and business plan from </w:t>
      </w:r>
      <w:proofErr w:type="spellStart"/>
      <w:r w:rsidRPr="00E85F29">
        <w:t>InnovFin</w:t>
      </w:r>
      <w:proofErr w:type="spellEnd"/>
      <w:r w:rsidRPr="00E85F29">
        <w:t>;</w:t>
      </w:r>
    </w:p>
    <w:p w14:paraId="2D750A55" w14:textId="441E41CA" w:rsidR="001D6C73" w:rsidRPr="001C1945" w:rsidRDefault="00D15005" w:rsidP="00615580">
      <w:pPr>
        <w:pStyle w:val="ListParagraph"/>
        <w:numPr>
          <w:ilvl w:val="0"/>
          <w:numId w:val="16"/>
        </w:numPr>
        <w:spacing w:after="120" w:line="276" w:lineRule="auto"/>
        <w:jc w:val="both"/>
      </w:pPr>
      <w:r w:rsidRPr="001C1945">
        <w:t xml:space="preserve">either decrease the reference volume or prolong the deadline or inclusion period so that those members who are confronted with a slow-down of the lending activity in their respective countries will not face the situation that due to non-compliance with </w:t>
      </w:r>
      <w:r w:rsidR="001D6C73" w:rsidRPr="001C1945">
        <w:t xml:space="preserve">the reference volume in the foreseen time </w:t>
      </w:r>
      <w:r w:rsidRPr="001C1945">
        <w:t>to n</w:t>
      </w:r>
      <w:r w:rsidR="001D6C73" w:rsidRPr="001C1945">
        <w:t>ot benefit</w:t>
      </w:r>
      <w:r w:rsidRPr="001C1945">
        <w:t xml:space="preserve"> from</w:t>
      </w:r>
      <w:r w:rsidR="001D6C73" w:rsidRPr="001C1945">
        <w:t xml:space="preserve"> COSME at all</w:t>
      </w:r>
      <w:r w:rsidRPr="001C1945">
        <w:t>;</w:t>
      </w:r>
    </w:p>
    <w:p w14:paraId="518412F8" w14:textId="1B259B65" w:rsidR="002C1ED9" w:rsidRDefault="002C1ED9" w:rsidP="00AA3623">
      <w:pPr>
        <w:pStyle w:val="ListParagraph"/>
        <w:numPr>
          <w:ilvl w:val="0"/>
          <w:numId w:val="16"/>
        </w:numPr>
        <w:spacing w:after="120" w:line="276" w:lineRule="auto"/>
        <w:jc w:val="both"/>
      </w:pPr>
      <w:r>
        <w:t>no more adherence to the 150.000 EUR threshold of COSME or at least a substantial increase of this threshold</w:t>
      </w:r>
      <w:r w:rsidR="009F3774">
        <w:t>;</w:t>
      </w:r>
    </w:p>
    <w:p w14:paraId="470462F4" w14:textId="0CC736DB" w:rsidR="00E71DC8" w:rsidRDefault="00E71DC8" w:rsidP="00E71DC8">
      <w:pPr>
        <w:pStyle w:val="ListParagraph"/>
        <w:numPr>
          <w:ilvl w:val="0"/>
          <w:numId w:val="16"/>
        </w:numPr>
        <w:spacing w:after="120" w:line="276" w:lineRule="auto"/>
        <w:jc w:val="both"/>
      </w:pPr>
      <w:r>
        <w:t xml:space="preserve">since SMEs are all affected, the criterion of COSME of high-risk should be applied to all SMEs per se </w:t>
      </w:r>
      <w:r w:rsidR="002E58FC">
        <w:t>no need for further assessment</w:t>
      </w:r>
      <w:r w:rsidR="009F3774">
        <w:t>;</w:t>
      </w:r>
    </w:p>
    <w:p w14:paraId="70DA818A" w14:textId="0A958AA4" w:rsidR="00AA3623" w:rsidRDefault="00AA3623" w:rsidP="00AA3623">
      <w:pPr>
        <w:pStyle w:val="ListParagraph"/>
        <w:numPr>
          <w:ilvl w:val="0"/>
          <w:numId w:val="16"/>
        </w:numPr>
        <w:spacing w:after="120" w:line="276" w:lineRule="auto"/>
        <w:jc w:val="both"/>
      </w:pPr>
      <w:r>
        <w:t xml:space="preserve">increase the maximum cap rate of COSME from 10% to </w:t>
      </w:r>
      <w:r w:rsidR="00E71DC8">
        <w:t xml:space="preserve">at least </w:t>
      </w:r>
      <w:r>
        <w:t>20%</w:t>
      </w:r>
      <w:r w:rsidR="00E71DC8">
        <w:t xml:space="preserve"> ideally to 25%</w:t>
      </w:r>
      <w:r w:rsidR="001D6C73">
        <w:t xml:space="preserve"> and</w:t>
      </w:r>
    </w:p>
    <w:p w14:paraId="257BA87B" w14:textId="1FA018D6" w:rsidR="00A96F7C" w:rsidRPr="007610B5" w:rsidRDefault="00A96F7C" w:rsidP="00AA3623">
      <w:pPr>
        <w:pStyle w:val="ListParagraph"/>
        <w:numPr>
          <w:ilvl w:val="0"/>
          <w:numId w:val="16"/>
        </w:numPr>
        <w:spacing w:after="120" w:line="276" w:lineRule="auto"/>
        <w:jc w:val="both"/>
      </w:pPr>
      <w:r>
        <w:t>expand the regular interest cover from 90 days to at least 180, better 360 days</w:t>
      </w:r>
      <w:r w:rsidR="009F3774">
        <w:t>.</w:t>
      </w:r>
    </w:p>
    <w:p w14:paraId="069DD5CF" w14:textId="77777777" w:rsidR="00DD6334" w:rsidRPr="00F5327D" w:rsidRDefault="00DD6334" w:rsidP="00061634">
      <w:pPr>
        <w:spacing w:after="120" w:line="276" w:lineRule="auto"/>
        <w:jc w:val="both"/>
        <w:rPr>
          <w:rFonts w:ascii="Calibri" w:hAnsi="Calibri" w:cs="Calibri"/>
          <w:sz w:val="18"/>
          <w:szCs w:val="18"/>
        </w:rPr>
      </w:pPr>
    </w:p>
    <w:p w14:paraId="2F8261BF" w14:textId="33D17C64" w:rsidR="00F86129" w:rsidRPr="00DD6334" w:rsidRDefault="00356D2D" w:rsidP="00061634">
      <w:pPr>
        <w:spacing w:after="120" w:line="276" w:lineRule="auto"/>
        <w:jc w:val="both"/>
        <w:rPr>
          <w:rFonts w:ascii="Calibri" w:hAnsi="Calibri" w:cs="Calibri"/>
        </w:rPr>
      </w:pPr>
      <w:r w:rsidRPr="00DD6334">
        <w:rPr>
          <w:rFonts w:ascii="Calibri" w:hAnsi="Calibri" w:cs="Calibri"/>
        </w:rPr>
        <w:t>We would very much appreciate if the European institutions could take our requests into their kind consideration. To conclude, we would like to underline that AECM and its members stand ready assume their responsibility doing everything possible to overcome the current crisis quickly and as best as possible what will only be feasible in a joint manner.</w:t>
      </w:r>
    </w:p>
    <w:p w14:paraId="5A80DB93" w14:textId="290FCA4A" w:rsidR="00C87663" w:rsidRDefault="00C87663" w:rsidP="00225D18">
      <w:pPr>
        <w:spacing w:after="120" w:line="276" w:lineRule="auto"/>
        <w:jc w:val="both"/>
        <w:rPr>
          <w:rFonts w:ascii="Calibri" w:hAnsi="Calibri" w:cs="Calibri"/>
        </w:rPr>
      </w:pPr>
    </w:p>
    <w:p w14:paraId="5DD0325A" w14:textId="17288CC0" w:rsidR="00F5327D" w:rsidRDefault="00F5327D" w:rsidP="00225D18">
      <w:pPr>
        <w:spacing w:after="120" w:line="276" w:lineRule="auto"/>
        <w:jc w:val="both"/>
        <w:rPr>
          <w:rFonts w:ascii="Calibri" w:hAnsi="Calibri" w:cs="Calibri"/>
        </w:rPr>
      </w:pPr>
    </w:p>
    <w:p w14:paraId="09AC645D" w14:textId="77777777" w:rsidR="00F5327D" w:rsidRPr="00DD6334" w:rsidRDefault="00F5327D" w:rsidP="00225D18">
      <w:pPr>
        <w:spacing w:after="120" w:line="276" w:lineRule="auto"/>
        <w:jc w:val="both"/>
        <w:rPr>
          <w:rFonts w:ascii="Calibri" w:hAnsi="Calibri" w:cs="Calibri"/>
        </w:rPr>
      </w:pPr>
    </w:p>
    <w:p w14:paraId="740C015A" w14:textId="70152D0D" w:rsidR="0013593F" w:rsidRPr="00DD6334" w:rsidRDefault="008C6235" w:rsidP="00F868AF">
      <w:pPr>
        <w:spacing w:after="120" w:line="276" w:lineRule="auto"/>
        <w:jc w:val="both"/>
        <w:rPr>
          <w:rFonts w:ascii="Calibri" w:hAnsi="Calibri" w:cs="Calibri"/>
        </w:rPr>
      </w:pPr>
      <w:r w:rsidRPr="00DD6334">
        <w:rPr>
          <w:rFonts w:ascii="Calibri" w:hAnsi="Calibri" w:cs="Calibri"/>
        </w:rPr>
        <w:t>Brussels, March 2020</w:t>
      </w:r>
    </w:p>
    <w:p w14:paraId="037B6463" w14:textId="77777777" w:rsidR="00C070F7" w:rsidRDefault="00C070F7" w:rsidP="00C070F7"/>
    <w:p w14:paraId="67C6CACF" w14:textId="77777777" w:rsidR="00F5327D" w:rsidRDefault="00F5327D">
      <w:pPr>
        <w:rPr>
          <w:rFonts w:ascii="Calibri" w:hAnsi="Calibri" w:cs="Calibri"/>
        </w:rPr>
      </w:pPr>
      <w:r>
        <w:rPr>
          <w:rFonts w:ascii="Calibri" w:hAnsi="Calibri" w:cs="Calibri"/>
        </w:rPr>
        <w:br w:type="page"/>
      </w:r>
    </w:p>
    <w:p w14:paraId="1E65DA3A" w14:textId="37057784" w:rsidR="006C7202" w:rsidRPr="00F5327D" w:rsidRDefault="00AA3623" w:rsidP="00F868AF">
      <w:pPr>
        <w:spacing w:after="120" w:line="276" w:lineRule="auto"/>
        <w:jc w:val="both"/>
        <w:rPr>
          <w:rFonts w:ascii="Calibri" w:hAnsi="Calibri" w:cs="Calibri"/>
        </w:rPr>
      </w:pPr>
      <w:r w:rsidRPr="00F5327D">
        <w:rPr>
          <w:rFonts w:ascii="Calibri" w:hAnsi="Calibri" w:cs="Calibri"/>
        </w:rPr>
        <w:lastRenderedPageBreak/>
        <w:t>Annexe:</w:t>
      </w:r>
    </w:p>
    <w:p w14:paraId="040B16BD" w14:textId="77777777" w:rsidR="00B05497" w:rsidRPr="00F5327D" w:rsidRDefault="00B05497" w:rsidP="00AA3623">
      <w:pPr>
        <w:spacing w:after="0" w:line="276" w:lineRule="auto"/>
        <w:jc w:val="center"/>
        <w:rPr>
          <w:b/>
          <w:sz w:val="12"/>
          <w:szCs w:val="14"/>
          <w:shd w:val="clear" w:color="auto" w:fill="FFFFFF"/>
          <w:lang w:val="en-US"/>
        </w:rPr>
      </w:pPr>
    </w:p>
    <w:p w14:paraId="7C838FD1" w14:textId="223BA5DB" w:rsidR="00AA3623" w:rsidRDefault="00AA3623" w:rsidP="00AA3623">
      <w:pPr>
        <w:spacing w:after="0" w:line="276" w:lineRule="auto"/>
        <w:jc w:val="center"/>
        <w:rPr>
          <w:b/>
          <w:sz w:val="28"/>
          <w:szCs w:val="32"/>
          <w:shd w:val="clear" w:color="auto" w:fill="FFFFFF"/>
          <w:lang w:val="en-US"/>
        </w:rPr>
      </w:pPr>
      <w:r>
        <w:rPr>
          <w:b/>
          <w:sz w:val="28"/>
          <w:szCs w:val="32"/>
          <w:shd w:val="clear" w:color="auto" w:fill="FFFFFF"/>
          <w:lang w:val="en-US"/>
        </w:rPr>
        <w:t>Survey among AECM members</w:t>
      </w:r>
      <w:r w:rsidRPr="00657085">
        <w:rPr>
          <w:b/>
          <w:sz w:val="28"/>
          <w:szCs w:val="32"/>
          <w:shd w:val="clear" w:color="auto" w:fill="FFFFFF"/>
          <w:lang w:val="en-US"/>
        </w:rPr>
        <w:t xml:space="preserve"> as to the</w:t>
      </w:r>
      <w:r>
        <w:rPr>
          <w:b/>
          <w:sz w:val="28"/>
          <w:szCs w:val="32"/>
          <w:shd w:val="clear" w:color="auto" w:fill="FFFFFF"/>
          <w:lang w:val="en-US"/>
        </w:rPr>
        <w:t xml:space="preserve"> undertaken </w:t>
      </w:r>
      <w:r w:rsidRPr="001E4540">
        <w:rPr>
          <w:b/>
          <w:sz w:val="28"/>
          <w:szCs w:val="32"/>
          <w:shd w:val="clear" w:color="auto" w:fill="FFFFFF"/>
          <w:lang w:val="en-US"/>
        </w:rPr>
        <w:t>measures to offset the negative effects on the economy, especially on SMEs caused by the coronavirus outbreak (COVID-19)</w:t>
      </w:r>
      <w:r w:rsidR="00B05497">
        <w:rPr>
          <w:b/>
          <w:sz w:val="28"/>
          <w:szCs w:val="32"/>
          <w:shd w:val="clear" w:color="auto" w:fill="FFFFFF"/>
          <w:lang w:val="en-US"/>
        </w:rPr>
        <w:t xml:space="preserve"> (launched on 11 March 2020)</w:t>
      </w:r>
    </w:p>
    <w:p w14:paraId="5E314ABF" w14:textId="77777777" w:rsidR="00AA3623" w:rsidRPr="00F5327D" w:rsidRDefault="00AA3623" w:rsidP="00AA3623">
      <w:pPr>
        <w:spacing w:after="0" w:line="276" w:lineRule="auto"/>
        <w:jc w:val="center"/>
        <w:rPr>
          <w:b/>
          <w:sz w:val="18"/>
          <w:szCs w:val="20"/>
          <w:shd w:val="clear" w:color="auto" w:fill="FFFFFF"/>
          <w:lang w:val="en-U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9"/>
        <w:gridCol w:w="8175"/>
      </w:tblGrid>
      <w:tr w:rsidR="00AA3623" w:rsidRPr="00E62D5E" w14:paraId="730E8E9B" w14:textId="77777777" w:rsidTr="007E0009">
        <w:tc>
          <w:tcPr>
            <w:tcW w:w="2599" w:type="dxa"/>
          </w:tcPr>
          <w:p w14:paraId="240D6B1D"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proofErr w:type="spellStart"/>
            <w:r>
              <w:rPr>
                <w:rFonts w:cs="Times New Roman"/>
                <w:b/>
                <w:sz w:val="24"/>
                <w:szCs w:val="24"/>
                <w:lang w:val="en-US"/>
              </w:rPr>
              <w:t>aws</w:t>
            </w:r>
            <w:proofErr w:type="spellEnd"/>
          </w:p>
          <w:p w14:paraId="31D2F654" w14:textId="77777777" w:rsidR="00AA3623" w:rsidRPr="00DE2DCF" w:rsidRDefault="00AA3623" w:rsidP="000011DF">
            <w:pPr>
              <w:pStyle w:val="ListParagraph"/>
              <w:spacing w:before="120" w:after="0" w:line="240" w:lineRule="auto"/>
              <w:ind w:left="1080"/>
              <w:jc w:val="both"/>
              <w:rPr>
                <w:rFonts w:cs="Times New Roman"/>
                <w:b/>
                <w:sz w:val="24"/>
                <w:szCs w:val="24"/>
                <w:lang w:val="en-US"/>
              </w:rPr>
            </w:pPr>
            <w:r>
              <w:rPr>
                <w:rFonts w:cs="Times New Roman"/>
                <w:b/>
                <w:sz w:val="24"/>
                <w:szCs w:val="24"/>
                <w:lang w:val="en-US"/>
              </w:rPr>
              <w:t>Austria</w:t>
            </w:r>
          </w:p>
        </w:tc>
        <w:tc>
          <w:tcPr>
            <w:tcW w:w="8175" w:type="dxa"/>
          </w:tcPr>
          <w:p w14:paraId="0540B03D" w14:textId="77777777" w:rsidR="00AA3623" w:rsidRPr="00B060E8" w:rsidRDefault="00AA3623" w:rsidP="000011DF">
            <w:pPr>
              <w:spacing w:before="120" w:line="240" w:lineRule="auto"/>
              <w:jc w:val="both"/>
              <w:rPr>
                <w:b/>
                <w:bCs/>
                <w:color w:val="1F497D"/>
                <w:u w:val="single"/>
                <w:lang w:val="en-US"/>
              </w:rPr>
            </w:pPr>
            <w:r w:rsidRPr="00B060E8">
              <w:rPr>
                <w:b/>
                <w:bCs/>
                <w:color w:val="1F497D"/>
                <w:u w:val="single"/>
                <w:lang w:val="en-US"/>
              </w:rPr>
              <w:t xml:space="preserve">Bridge-Finance-Guarantees due to the Corona Virus Crisis </w:t>
            </w:r>
          </w:p>
          <w:p w14:paraId="1DB5BEB9" w14:textId="77777777" w:rsidR="00AA3623" w:rsidRPr="00B060E8" w:rsidRDefault="00AA3623" w:rsidP="000011DF">
            <w:pPr>
              <w:spacing w:before="120" w:line="240" w:lineRule="auto"/>
              <w:jc w:val="both"/>
              <w:rPr>
                <w:color w:val="1F497D"/>
                <w:lang w:val="en-US"/>
              </w:rPr>
            </w:pPr>
            <w:r w:rsidRPr="00B060E8">
              <w:rPr>
                <w:color w:val="1F497D"/>
                <w:lang w:val="en-US"/>
              </w:rPr>
              <w:t xml:space="preserve">The aim is to facilitate the financing of working capital loans from companies whose sales and earnings development is impaired by order, delivery or other market changes due to the "corona virus crisis" </w:t>
            </w:r>
          </w:p>
          <w:p w14:paraId="60627946" w14:textId="77777777" w:rsidR="00AA3623" w:rsidRPr="00B060E8" w:rsidRDefault="00AA3623" w:rsidP="000011DF">
            <w:pPr>
              <w:spacing w:before="120" w:line="240" w:lineRule="auto"/>
              <w:jc w:val="both"/>
              <w:rPr>
                <w:color w:val="1F497D"/>
                <w:lang w:val="en-US"/>
              </w:rPr>
            </w:pPr>
            <w:r w:rsidRPr="00B060E8">
              <w:rPr>
                <w:color w:val="1F497D"/>
                <w:lang w:val="en-US"/>
              </w:rPr>
              <w:t xml:space="preserve">What do we support - how and to what extent? </w:t>
            </w:r>
          </w:p>
          <w:p w14:paraId="3CD369DE" w14:textId="77777777" w:rsidR="00AA3623" w:rsidRPr="007F6B7D" w:rsidRDefault="00AA3623" w:rsidP="000011DF">
            <w:pPr>
              <w:spacing w:before="120" w:line="240" w:lineRule="auto"/>
              <w:jc w:val="both"/>
              <w:rPr>
                <w:color w:val="1F497D"/>
                <w:lang w:val="en-US"/>
              </w:rPr>
            </w:pPr>
            <w:r w:rsidRPr="007F6B7D">
              <w:rPr>
                <w:color w:val="1F497D"/>
                <w:lang w:val="en-US"/>
              </w:rPr>
              <w:t>Working capital financing (e.g. goods purchases, personnel costs) to financially sound companies are supported, which due to the current "Corona Virus Crisis" have no or insufficient liquidity to finance ongoing operations or whose sales and earnings development is impaired by order failures or market changes.</w:t>
            </w:r>
          </w:p>
          <w:p w14:paraId="159131A8" w14:textId="77777777" w:rsidR="00AA3623" w:rsidRPr="00B060E8" w:rsidRDefault="00AA3623" w:rsidP="000011DF">
            <w:pPr>
              <w:spacing w:before="120" w:line="240" w:lineRule="auto"/>
              <w:jc w:val="both"/>
              <w:rPr>
                <w:color w:val="1F497D"/>
                <w:lang w:val="en-US"/>
              </w:rPr>
            </w:pPr>
            <w:r w:rsidRPr="00B060E8">
              <w:rPr>
                <w:color w:val="1F497D"/>
                <w:lang w:val="en-US"/>
              </w:rPr>
              <w:t>• Up to 80% of a loan of up to EUR 2.5 million per SME.</w:t>
            </w:r>
          </w:p>
          <w:p w14:paraId="7E2AC2DC" w14:textId="77777777" w:rsidR="00AA3623" w:rsidRPr="007F6B7D" w:rsidRDefault="00AA3623" w:rsidP="000011DF">
            <w:pPr>
              <w:spacing w:before="120" w:line="240" w:lineRule="auto"/>
              <w:jc w:val="both"/>
              <w:rPr>
                <w:color w:val="1F497D"/>
                <w:lang w:val="en-US"/>
              </w:rPr>
            </w:pPr>
            <w:r w:rsidRPr="007F6B7D">
              <w:rPr>
                <w:color w:val="1F497D"/>
                <w:lang w:val="en-US"/>
              </w:rPr>
              <w:t>• Guarantee period max. 5 years</w:t>
            </w:r>
          </w:p>
          <w:p w14:paraId="4982610A" w14:textId="77777777" w:rsidR="00AA3623" w:rsidRPr="007F6B7D" w:rsidRDefault="00AA3623" w:rsidP="000011DF">
            <w:pPr>
              <w:spacing w:before="120" w:line="240" w:lineRule="auto"/>
              <w:jc w:val="both"/>
              <w:rPr>
                <w:color w:val="1F497D"/>
                <w:lang w:val="en-US"/>
              </w:rPr>
            </w:pPr>
            <w:r w:rsidRPr="007F6B7D">
              <w:rPr>
                <w:color w:val="1F497D"/>
                <w:lang w:val="en-US"/>
              </w:rPr>
              <w:t>• Processing fee: starting with 0.25 % of the amount to be financed, one-time fee</w:t>
            </w:r>
          </w:p>
          <w:p w14:paraId="29D1A4DC" w14:textId="77777777" w:rsidR="00AA3623" w:rsidRPr="007F6B7D" w:rsidRDefault="00AA3623" w:rsidP="000011DF">
            <w:pPr>
              <w:spacing w:before="120" w:line="240" w:lineRule="auto"/>
              <w:jc w:val="both"/>
              <w:rPr>
                <w:color w:val="1F497D"/>
                <w:lang w:val="en-US"/>
              </w:rPr>
            </w:pPr>
            <w:r w:rsidRPr="007F6B7D">
              <w:rPr>
                <w:color w:val="1F497D"/>
                <w:lang w:val="en-US"/>
              </w:rPr>
              <w:t>• Guarantee fee: starting with 0.3 % p.a. (variable to risk) of outstanding liability</w:t>
            </w:r>
          </w:p>
          <w:p w14:paraId="6AAE58CC" w14:textId="77777777" w:rsidR="00AA3623" w:rsidRPr="007F6B7D" w:rsidRDefault="00AA3623" w:rsidP="000011DF">
            <w:pPr>
              <w:spacing w:before="120" w:line="240" w:lineRule="auto"/>
              <w:jc w:val="both"/>
              <w:rPr>
                <w:color w:val="1F497D"/>
                <w:lang w:val="en-US"/>
              </w:rPr>
            </w:pPr>
            <w:r w:rsidRPr="007F6B7D">
              <w:rPr>
                <w:color w:val="1F497D"/>
                <w:lang w:val="en-US"/>
              </w:rPr>
              <w:t xml:space="preserve">What cannot be supported? </w:t>
            </w:r>
          </w:p>
          <w:p w14:paraId="3D9171E3" w14:textId="77777777" w:rsidR="00AA3623" w:rsidRDefault="00AA3623" w:rsidP="000011DF">
            <w:pPr>
              <w:spacing w:before="120" w:line="240" w:lineRule="auto"/>
              <w:jc w:val="both"/>
              <w:rPr>
                <w:color w:val="1F497D"/>
                <w:lang w:val="en-US"/>
              </w:rPr>
            </w:pPr>
            <w:r w:rsidRPr="007F6B7D">
              <w:rPr>
                <w:color w:val="1F497D"/>
                <w:lang w:val="en-US"/>
              </w:rPr>
              <w:t>Short-term loan financing (less than 6 months) is excluded from a guarantee.</w:t>
            </w:r>
          </w:p>
          <w:p w14:paraId="0FCADAE6" w14:textId="77777777" w:rsidR="00AA3623" w:rsidRDefault="00F937DF" w:rsidP="000011DF">
            <w:pPr>
              <w:spacing w:before="120" w:line="240" w:lineRule="auto"/>
              <w:jc w:val="both"/>
              <w:rPr>
                <w:rStyle w:val="Hyperlink"/>
                <w:lang w:val="en-US"/>
              </w:rPr>
            </w:pPr>
            <w:hyperlink r:id="rId9" w:history="1">
              <w:r w:rsidR="00AA3623" w:rsidRPr="004660D3">
                <w:rPr>
                  <w:rStyle w:val="Hyperlink"/>
                  <w:lang w:val="en-US"/>
                </w:rPr>
                <w:t>https://www.aws.at/aws-garantie/ueberbrueckungsgarantie/</w:t>
              </w:r>
            </w:hyperlink>
          </w:p>
          <w:p w14:paraId="743C5D54" w14:textId="77777777" w:rsidR="00AA3623" w:rsidRPr="00DB60C9" w:rsidRDefault="00AA3623" w:rsidP="000011DF">
            <w:pPr>
              <w:spacing w:before="120" w:line="240" w:lineRule="auto"/>
              <w:jc w:val="both"/>
              <w:rPr>
                <w:color w:val="1F497D"/>
                <w:lang w:val="en-US"/>
              </w:rPr>
            </w:pPr>
            <w:r w:rsidRPr="00DB60C9">
              <w:rPr>
                <w:color w:val="1F497D"/>
                <w:lang w:val="en-US"/>
              </w:rPr>
              <w:t xml:space="preserve">More and more Austrian companies are negatively affected by the economic impact of coronavirus. For this reason, the </w:t>
            </w:r>
            <w:proofErr w:type="spellStart"/>
            <w:r w:rsidRPr="00DB60C9">
              <w:rPr>
                <w:color w:val="1F497D"/>
                <w:lang w:val="en-US"/>
              </w:rPr>
              <w:t>aws</w:t>
            </w:r>
            <w:proofErr w:type="spellEnd"/>
            <w:r w:rsidRPr="00DB60C9">
              <w:rPr>
                <w:color w:val="1F497D"/>
                <w:lang w:val="en-US"/>
              </w:rPr>
              <w:t xml:space="preserve"> bridging guarantee, which has been available since 12 March 2020, will be significantly expanded and simplified with immediate effect on behalf of the Austrian federal government.</w:t>
            </w:r>
          </w:p>
          <w:p w14:paraId="4AD54D0F" w14:textId="77777777" w:rsidR="00AA3623" w:rsidRPr="00DB60C9" w:rsidRDefault="00AA3623" w:rsidP="000011DF">
            <w:pPr>
              <w:spacing w:before="120" w:line="240" w:lineRule="auto"/>
              <w:jc w:val="both"/>
              <w:rPr>
                <w:color w:val="1F497D"/>
                <w:lang w:val="en-US"/>
              </w:rPr>
            </w:pPr>
            <w:r w:rsidRPr="00DB60C9">
              <w:rPr>
                <w:color w:val="1F497D"/>
                <w:lang w:val="en-US"/>
              </w:rPr>
              <w:t xml:space="preserve">The following extensions are of central importance: </w:t>
            </w:r>
          </w:p>
          <w:p w14:paraId="73FA27DD" w14:textId="77777777" w:rsidR="00AA3623" w:rsidRPr="00DB60C9" w:rsidRDefault="00AA3623" w:rsidP="000011DF">
            <w:pPr>
              <w:spacing w:before="120" w:line="240" w:lineRule="auto"/>
              <w:jc w:val="both"/>
              <w:rPr>
                <w:color w:val="1F497D"/>
                <w:lang w:val="en-US"/>
              </w:rPr>
            </w:pPr>
            <w:r w:rsidRPr="00DB60C9">
              <w:rPr>
                <w:color w:val="1F497D"/>
                <w:lang w:val="en-US"/>
              </w:rPr>
              <w:t>- Waiver of the charging of handling and guarantee fees</w:t>
            </w:r>
          </w:p>
          <w:p w14:paraId="5ED84D4F" w14:textId="77777777" w:rsidR="00AA3623" w:rsidRPr="00DB60C9" w:rsidRDefault="00AA3623" w:rsidP="000011DF">
            <w:pPr>
              <w:spacing w:before="120" w:line="240" w:lineRule="auto"/>
              <w:jc w:val="both"/>
              <w:rPr>
                <w:color w:val="1F497D"/>
                <w:lang w:val="en-US"/>
              </w:rPr>
            </w:pPr>
            <w:r w:rsidRPr="00DB60C9">
              <w:rPr>
                <w:color w:val="1F497D"/>
                <w:lang w:val="en-US"/>
              </w:rPr>
              <w:t>- No planning calculations or business plans required</w:t>
            </w:r>
          </w:p>
          <w:p w14:paraId="2B1AABA3" w14:textId="77777777" w:rsidR="00AA3623" w:rsidRPr="00DB60C9" w:rsidRDefault="00AA3623" w:rsidP="000011DF">
            <w:pPr>
              <w:spacing w:before="120" w:line="240" w:lineRule="auto"/>
              <w:jc w:val="both"/>
              <w:rPr>
                <w:color w:val="1F497D"/>
                <w:lang w:val="en-US"/>
              </w:rPr>
            </w:pPr>
            <w:r w:rsidRPr="00DB60C9">
              <w:rPr>
                <w:color w:val="1F497D"/>
                <w:lang w:val="en-US"/>
              </w:rPr>
              <w:t>- No loan collateral required</w:t>
            </w:r>
          </w:p>
          <w:p w14:paraId="3937612F" w14:textId="77777777" w:rsidR="00AA3623" w:rsidRPr="00DB60C9" w:rsidRDefault="00AA3623" w:rsidP="000011DF">
            <w:pPr>
              <w:spacing w:before="120" w:line="240" w:lineRule="auto"/>
              <w:jc w:val="both"/>
              <w:rPr>
                <w:color w:val="1F497D"/>
                <w:lang w:val="en-US"/>
              </w:rPr>
            </w:pPr>
            <w:r w:rsidRPr="00DB60C9">
              <w:rPr>
                <w:color w:val="1F497D"/>
                <w:lang w:val="en-US"/>
              </w:rPr>
              <w:t>- Freelance activities are now eligible for guarantee</w:t>
            </w:r>
          </w:p>
          <w:p w14:paraId="1C98212B" w14:textId="77777777" w:rsidR="00AA3623" w:rsidRPr="00DB60C9" w:rsidRDefault="00AA3623" w:rsidP="000011DF">
            <w:pPr>
              <w:spacing w:before="120" w:line="240" w:lineRule="auto"/>
              <w:jc w:val="both"/>
              <w:rPr>
                <w:color w:val="1F497D"/>
                <w:lang w:val="en-US"/>
              </w:rPr>
            </w:pPr>
            <w:r w:rsidRPr="00DB60C9">
              <w:rPr>
                <w:color w:val="1F497D"/>
                <w:lang w:val="en-US"/>
              </w:rPr>
              <w:t>- Guarantees can also be used to defer existing credit lines</w:t>
            </w:r>
          </w:p>
          <w:p w14:paraId="133D20FA" w14:textId="77777777" w:rsidR="00AA3623" w:rsidRPr="00DB60C9" w:rsidRDefault="00AA3623" w:rsidP="000011DF">
            <w:pPr>
              <w:spacing w:before="120" w:line="240" w:lineRule="auto"/>
              <w:jc w:val="both"/>
              <w:rPr>
                <w:color w:val="1F497D"/>
                <w:lang w:val="en-US"/>
              </w:rPr>
            </w:pPr>
            <w:r w:rsidRPr="00DB60C9">
              <w:rPr>
                <w:color w:val="1F497D"/>
                <w:lang w:val="en-US"/>
              </w:rPr>
              <w:t>- A fast-track procedure will be introduced to enable guarantees to be given immediately.</w:t>
            </w:r>
          </w:p>
          <w:p w14:paraId="2B26CCB2" w14:textId="77777777" w:rsidR="00AA3623" w:rsidRDefault="00AA3623" w:rsidP="000011DF">
            <w:pPr>
              <w:spacing w:before="120" w:line="240" w:lineRule="auto"/>
              <w:jc w:val="both"/>
              <w:rPr>
                <w:color w:val="1F497D"/>
                <w:lang w:val="en-US"/>
              </w:rPr>
            </w:pPr>
            <w:r w:rsidRPr="00DB60C9">
              <w:rPr>
                <w:color w:val="1F497D"/>
                <w:lang w:val="en-US"/>
              </w:rPr>
              <w:t>All extension measures will take effect immediately and will also affect applications for support that have already been submitted. The exception is the accelerated procedure, which will be available in the next few days.</w:t>
            </w:r>
          </w:p>
          <w:p w14:paraId="0A879325" w14:textId="77777777" w:rsidR="00AA3623" w:rsidRPr="00DB60C9" w:rsidRDefault="00F937DF" w:rsidP="000011DF">
            <w:pPr>
              <w:spacing w:before="120" w:line="240" w:lineRule="auto"/>
              <w:jc w:val="both"/>
              <w:rPr>
                <w:color w:val="1F497D"/>
                <w:lang w:val="en-US"/>
              </w:rPr>
            </w:pPr>
            <w:hyperlink r:id="rId10" w:history="1">
              <w:r w:rsidR="00AA3623">
                <w:rPr>
                  <w:rStyle w:val="Hyperlink"/>
                  <w:lang w:val="en-US"/>
                </w:rPr>
                <w:t>https://www.aws.at/aws-garantie/ueberbrueckungsgarantie/</w:t>
              </w:r>
            </w:hyperlink>
          </w:p>
          <w:p w14:paraId="32289593" w14:textId="1324931D" w:rsidR="00AA3623" w:rsidRPr="007F6B7D" w:rsidRDefault="00AA3623" w:rsidP="000011DF">
            <w:pPr>
              <w:spacing w:before="120" w:line="240" w:lineRule="auto"/>
              <w:jc w:val="both"/>
              <w:rPr>
                <w:color w:val="1F497D"/>
                <w:lang w:val="en-US"/>
              </w:rPr>
            </w:pPr>
            <w:r w:rsidRPr="00DB60C9">
              <w:rPr>
                <w:color w:val="1F497D"/>
                <w:lang w:val="en-US"/>
              </w:rPr>
              <w:t>For the time being, the provisions of state aid law must be complied with, but a change at EU level is likely to be imminent.</w:t>
            </w:r>
          </w:p>
          <w:p w14:paraId="59FEF68D" w14:textId="10DD9F0D" w:rsidR="00AA3623" w:rsidRDefault="00AA3623" w:rsidP="000011DF">
            <w:pPr>
              <w:pStyle w:val="PlainText"/>
              <w:jc w:val="both"/>
              <w:rPr>
                <w:rFonts w:ascii="Times New Roman" w:hAnsi="Times New Roman" w:cs="Times New Roman"/>
                <w:color w:val="FF0000"/>
                <w:sz w:val="20"/>
                <w:szCs w:val="20"/>
                <w:shd w:val="clear" w:color="auto" w:fill="FFFFFF"/>
                <w:lang w:val="nl-BE"/>
              </w:rPr>
            </w:pPr>
            <w:r w:rsidRPr="004660D3">
              <w:rPr>
                <w:rFonts w:ascii="Times New Roman" w:hAnsi="Times New Roman" w:cs="Times New Roman"/>
                <w:color w:val="FF0000"/>
                <w:sz w:val="20"/>
                <w:szCs w:val="20"/>
                <w:shd w:val="clear" w:color="auto" w:fill="FFFFFF"/>
                <w:lang w:val="nl-BE"/>
              </w:rPr>
              <w:t xml:space="preserve">Leutgeb Kurt </w:t>
            </w:r>
          </w:p>
          <w:p w14:paraId="25456A5F" w14:textId="2B200D97" w:rsidR="00E85F29" w:rsidRPr="00E85F29" w:rsidRDefault="00E85F29" w:rsidP="00E85F29">
            <w:pPr>
              <w:pStyle w:val="PlainText"/>
              <w:spacing w:after="120"/>
              <w:jc w:val="both"/>
              <w:rPr>
                <w:rFonts w:ascii="Times New Roman" w:hAnsi="Times New Roman" w:cs="Times New Roman"/>
                <w:color w:val="FF0000"/>
                <w:sz w:val="20"/>
                <w:szCs w:val="20"/>
                <w:shd w:val="clear" w:color="auto" w:fill="FFFFFF"/>
                <w:lang w:val="nl-BE"/>
              </w:rPr>
            </w:pPr>
            <w:r>
              <w:rPr>
                <w:rFonts w:ascii="Times New Roman" w:hAnsi="Times New Roman" w:cs="Times New Roman"/>
                <w:color w:val="FF0000"/>
                <w:sz w:val="20"/>
                <w:szCs w:val="20"/>
                <w:shd w:val="clear" w:color="auto" w:fill="FFFFFF"/>
                <w:lang w:val="nl-BE"/>
              </w:rPr>
              <w:t>K.Leutgeb@aws.at</w:t>
            </w:r>
          </w:p>
        </w:tc>
      </w:tr>
      <w:tr w:rsidR="00AA3623" w:rsidRPr="00F5327D" w14:paraId="53FEC087" w14:textId="77777777" w:rsidTr="007E0009">
        <w:tc>
          <w:tcPr>
            <w:tcW w:w="2599" w:type="dxa"/>
          </w:tcPr>
          <w:p w14:paraId="1081D72F" w14:textId="77777777" w:rsidR="00AA3623" w:rsidRPr="00B060E8" w:rsidRDefault="00AA3623" w:rsidP="00AA3623">
            <w:pPr>
              <w:pStyle w:val="ListParagraph"/>
              <w:numPr>
                <w:ilvl w:val="0"/>
                <w:numId w:val="13"/>
              </w:numPr>
              <w:spacing w:before="120" w:after="0" w:line="240" w:lineRule="auto"/>
              <w:jc w:val="both"/>
              <w:rPr>
                <w:rFonts w:cs="Times New Roman"/>
                <w:b/>
                <w:sz w:val="24"/>
                <w:szCs w:val="24"/>
                <w:lang w:val="en-US"/>
              </w:rPr>
            </w:pPr>
            <w:r w:rsidRPr="00B060E8">
              <w:rPr>
                <w:rFonts w:cs="Times New Roman"/>
                <w:b/>
                <w:sz w:val="24"/>
                <w:szCs w:val="24"/>
                <w:lang w:val="en-US"/>
              </w:rPr>
              <w:lastRenderedPageBreak/>
              <w:t>SOWALFIN</w:t>
            </w:r>
          </w:p>
          <w:p w14:paraId="6028D7C0" w14:textId="77777777" w:rsidR="00AA3623" w:rsidRPr="00A00401"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Belgium</w:t>
            </w:r>
          </w:p>
        </w:tc>
        <w:tc>
          <w:tcPr>
            <w:tcW w:w="8175" w:type="dxa"/>
          </w:tcPr>
          <w:p w14:paraId="19E9CB00" w14:textId="7A3F4DC5" w:rsidR="00AA3623" w:rsidRPr="004660D3" w:rsidRDefault="00AA3623" w:rsidP="000011DF">
            <w:pPr>
              <w:spacing w:before="120" w:line="240" w:lineRule="auto"/>
              <w:jc w:val="both"/>
              <w:rPr>
                <w:color w:val="1F497D"/>
              </w:rPr>
            </w:pPr>
            <w:r w:rsidRPr="004660D3">
              <w:rPr>
                <w:color w:val="1F497D"/>
              </w:rPr>
              <w:t xml:space="preserve">In order to help companies impacted by the coronavirus crisis, we have a specific mathematical reserve to guarantee: </w:t>
            </w:r>
          </w:p>
          <w:p w14:paraId="391D8835" w14:textId="77777777" w:rsidR="00AA3623" w:rsidRPr="004660D3" w:rsidRDefault="00AA3623" w:rsidP="000011DF">
            <w:pPr>
              <w:spacing w:before="120" w:line="240" w:lineRule="auto"/>
              <w:jc w:val="both"/>
              <w:rPr>
                <w:color w:val="1F497D"/>
              </w:rPr>
            </w:pPr>
            <w:r w:rsidRPr="004660D3">
              <w:rPr>
                <w:color w:val="1F497D"/>
              </w:rPr>
              <w:t>- at 50%, with a maximum commitment of EUR 500,000, the existing short-term lines of credit, granted by banks without SOWALFIN guarantee, in order to maintain these means at the disposal of the impacted companies;</w:t>
            </w:r>
          </w:p>
          <w:p w14:paraId="3CFF1E7D" w14:textId="77777777" w:rsidR="00AA3623" w:rsidRPr="004660D3" w:rsidRDefault="00AA3623" w:rsidP="000011DF">
            <w:pPr>
              <w:spacing w:before="120" w:line="240" w:lineRule="auto"/>
              <w:jc w:val="both"/>
              <w:rPr>
                <w:color w:val="1F497D"/>
              </w:rPr>
            </w:pPr>
            <w:r w:rsidRPr="004660D3">
              <w:rPr>
                <w:color w:val="1F497D"/>
              </w:rPr>
              <w:t xml:space="preserve">- at 75%, the new short-term resources that would be granted to companies to help them get through this period of crisis. </w:t>
            </w:r>
          </w:p>
          <w:p w14:paraId="224174F5" w14:textId="77777777" w:rsidR="00AA3623" w:rsidRPr="004660D3" w:rsidRDefault="00AA3623" w:rsidP="000011DF">
            <w:pPr>
              <w:spacing w:before="120" w:line="240" w:lineRule="auto"/>
              <w:jc w:val="both"/>
              <w:rPr>
                <w:color w:val="1F497D"/>
              </w:rPr>
            </w:pPr>
            <w:r w:rsidRPr="004660D3">
              <w:rPr>
                <w:color w:val="1F497D"/>
              </w:rPr>
              <w:t xml:space="preserve">and this, of course, within the overall ceiling of EUR 1,500,000 outstanding per beneficiary. </w:t>
            </w:r>
          </w:p>
          <w:p w14:paraId="4430A2C9" w14:textId="77777777" w:rsidR="00AA3623" w:rsidRPr="004660D3" w:rsidRDefault="00AA3623" w:rsidP="000011DF">
            <w:pPr>
              <w:spacing w:before="120" w:line="240" w:lineRule="auto"/>
              <w:jc w:val="both"/>
              <w:rPr>
                <w:color w:val="1F497D"/>
              </w:rPr>
            </w:pPr>
            <w:r w:rsidRPr="004660D3">
              <w:rPr>
                <w:color w:val="1F497D"/>
              </w:rPr>
              <w:t>At this stage with payment of a commission of 1% of the annual commitment as a guarantee (a guarantee of 50% of a line of EUR 1,000,000 for 1 year gives an annual commission of EUR 5,000).</w:t>
            </w:r>
          </w:p>
          <w:p w14:paraId="18E1D350" w14:textId="77777777" w:rsidR="00AA3623" w:rsidRPr="004660D3" w:rsidRDefault="00AA3623" w:rsidP="000011DF">
            <w:pPr>
              <w:spacing w:before="120" w:line="240" w:lineRule="auto"/>
              <w:jc w:val="both"/>
              <w:rPr>
                <w:color w:val="1F497D"/>
              </w:rPr>
            </w:pPr>
            <w:r w:rsidRPr="004660D3">
              <w:rPr>
                <w:color w:val="1F497D"/>
              </w:rPr>
              <w:t xml:space="preserve">We also have our  service "1890" (website and call number) to answer any questions from affected companies (call number open Monday to Friday from 8am to 7pm) and to inform them precisely about what they could be entitled to according to their situation. </w:t>
            </w:r>
          </w:p>
          <w:p w14:paraId="2A7452D2" w14:textId="77777777" w:rsidR="00AA3623" w:rsidRPr="004660D3" w:rsidRDefault="00AA3623" w:rsidP="000011DF">
            <w:pPr>
              <w:spacing w:before="120" w:line="240" w:lineRule="auto"/>
              <w:jc w:val="both"/>
              <w:rPr>
                <w:color w:val="1F497D"/>
              </w:rPr>
            </w:pPr>
            <w:r w:rsidRPr="004660D3">
              <w:rPr>
                <w:color w:val="1F497D"/>
              </w:rPr>
              <w:t xml:space="preserve">We are in the process of identifying other measures falling within the scope of SOWALFIN's missions that would enable the impacted companies to alleviate cash outflows: moratoria on our credits, guarantees within the framework of moratoria of minimum 3 to 6 months granted by banks on investment credits initially not guaranteed by SOWALFIN. </w:t>
            </w:r>
          </w:p>
          <w:p w14:paraId="4B9A02F4" w14:textId="77777777" w:rsidR="00AA3623" w:rsidRPr="004660D3" w:rsidRDefault="00AA3623" w:rsidP="000011DF">
            <w:pPr>
              <w:pStyle w:val="PlainText"/>
              <w:spacing w:before="120"/>
              <w:jc w:val="both"/>
              <w:rPr>
                <w:rFonts w:eastAsia="Calibri" w:cs="Calibri"/>
                <w:color w:val="1F497D"/>
                <w:szCs w:val="22"/>
                <w:lang w:val="en-GB"/>
              </w:rPr>
            </w:pPr>
            <w:r w:rsidRPr="004660D3">
              <w:rPr>
                <w:color w:val="1F497D"/>
                <w:lang w:val="en-GB"/>
              </w:rPr>
              <w:t>For the criteria, we will rely on the elements provided by the banks, our guarantees being granted on an individual basis.</w:t>
            </w:r>
          </w:p>
          <w:p w14:paraId="6E701B1C" w14:textId="77777777" w:rsidR="00AA3623" w:rsidRPr="00C83E0B" w:rsidRDefault="00AA3623" w:rsidP="000011DF">
            <w:pPr>
              <w:pStyle w:val="PlainText"/>
              <w:spacing w:before="120"/>
              <w:jc w:val="both"/>
              <w:rPr>
                <w:rFonts w:eastAsia="Calibri" w:cs="Calibri"/>
                <w:color w:val="1F497D"/>
                <w:sz w:val="14"/>
                <w:szCs w:val="14"/>
                <w:lang w:val="en-GB"/>
              </w:rPr>
            </w:pPr>
          </w:p>
          <w:p w14:paraId="5DCD0485" w14:textId="77777777" w:rsidR="00AA3623" w:rsidRPr="00490651" w:rsidRDefault="00AA3623" w:rsidP="000011DF">
            <w:pPr>
              <w:pStyle w:val="PlainText"/>
              <w:jc w:val="both"/>
              <w:rPr>
                <w:rFonts w:ascii="Times New Roman" w:hAnsi="Times New Roman" w:cs="Times New Roman"/>
                <w:color w:val="FF0000"/>
                <w:sz w:val="20"/>
                <w:szCs w:val="20"/>
                <w:shd w:val="clear" w:color="auto" w:fill="FFFFFF"/>
                <w:lang w:val="it-IT"/>
              </w:rPr>
            </w:pPr>
            <w:r w:rsidRPr="00490651">
              <w:rPr>
                <w:rFonts w:ascii="Times New Roman" w:hAnsi="Times New Roman" w:cs="Times New Roman"/>
                <w:color w:val="FF0000"/>
                <w:sz w:val="20"/>
                <w:szCs w:val="20"/>
                <w:shd w:val="clear" w:color="auto" w:fill="FFFFFF"/>
                <w:lang w:val="it-IT"/>
              </w:rPr>
              <w:t>Viviane MOL</w:t>
            </w:r>
          </w:p>
          <w:p w14:paraId="1D334C31" w14:textId="77777777" w:rsidR="00AA3623" w:rsidRPr="00490651" w:rsidRDefault="00F937DF" w:rsidP="00B05497">
            <w:pPr>
              <w:pStyle w:val="PlainText"/>
              <w:spacing w:after="120"/>
              <w:jc w:val="both"/>
              <w:rPr>
                <w:rFonts w:ascii="Times New Roman" w:hAnsi="Times New Roman" w:cs="Times New Roman"/>
                <w:color w:val="1F497D"/>
                <w:sz w:val="20"/>
                <w:szCs w:val="20"/>
                <w:lang w:val="it-IT"/>
              </w:rPr>
            </w:pPr>
            <w:hyperlink r:id="rId11" w:history="1">
              <w:r w:rsidR="00AA3623" w:rsidRPr="00490651">
                <w:rPr>
                  <w:rFonts w:ascii="Times New Roman" w:hAnsi="Times New Roman" w:cs="Times New Roman"/>
                  <w:color w:val="FF0000"/>
                  <w:sz w:val="20"/>
                  <w:szCs w:val="20"/>
                  <w:shd w:val="clear" w:color="auto" w:fill="FFFFFF"/>
                  <w:lang w:val="it-IT"/>
                </w:rPr>
                <w:t>vmol@sowalfin.be</w:t>
              </w:r>
            </w:hyperlink>
          </w:p>
        </w:tc>
      </w:tr>
      <w:tr w:rsidR="00AA3623" w:rsidRPr="00490651" w14:paraId="08B4882B" w14:textId="77777777" w:rsidTr="007E0009">
        <w:tc>
          <w:tcPr>
            <w:tcW w:w="2599" w:type="dxa"/>
          </w:tcPr>
          <w:p w14:paraId="6F2CD4E1"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sidRPr="00DE2DCF">
              <w:rPr>
                <w:rFonts w:cs="Times New Roman"/>
                <w:b/>
                <w:sz w:val="24"/>
                <w:szCs w:val="24"/>
                <w:lang w:val="en-US"/>
              </w:rPr>
              <w:t>PMV/z-</w:t>
            </w:r>
            <w:proofErr w:type="spellStart"/>
            <w:r w:rsidRPr="00DE2DCF">
              <w:rPr>
                <w:rFonts w:cs="Times New Roman"/>
                <w:b/>
                <w:sz w:val="24"/>
                <w:szCs w:val="24"/>
                <w:lang w:val="en-US"/>
              </w:rPr>
              <w:t>Waarborgen</w:t>
            </w:r>
            <w:proofErr w:type="spellEnd"/>
            <w:r w:rsidRPr="00DE2DCF">
              <w:rPr>
                <w:rFonts w:cs="Times New Roman"/>
                <w:b/>
                <w:sz w:val="24"/>
                <w:szCs w:val="24"/>
                <w:lang w:val="en-US"/>
              </w:rPr>
              <w:t xml:space="preserve"> </w:t>
            </w:r>
            <w:proofErr w:type="spellStart"/>
            <w:r w:rsidRPr="00DE2DCF">
              <w:rPr>
                <w:rFonts w:cs="Times New Roman"/>
                <w:b/>
                <w:sz w:val="24"/>
                <w:szCs w:val="24"/>
                <w:lang w:val="en-US"/>
              </w:rPr>
              <w:t>nv</w:t>
            </w:r>
            <w:proofErr w:type="spellEnd"/>
          </w:p>
          <w:p w14:paraId="25EFB3C6" w14:textId="77777777" w:rsidR="00AA3623" w:rsidRPr="00A00401"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Belgium</w:t>
            </w:r>
          </w:p>
        </w:tc>
        <w:tc>
          <w:tcPr>
            <w:tcW w:w="8175" w:type="dxa"/>
          </w:tcPr>
          <w:p w14:paraId="77D08C77" w14:textId="77777777" w:rsidR="00AA3623" w:rsidRPr="007F6B7D" w:rsidRDefault="00AA3623" w:rsidP="000011DF">
            <w:pPr>
              <w:pStyle w:val="Normal1"/>
              <w:spacing w:before="120" w:line="240" w:lineRule="auto"/>
              <w:jc w:val="both"/>
              <w:rPr>
                <w:rFonts w:ascii="Calibri" w:eastAsia="Calibri" w:hAnsi="Calibri" w:cs="Calibri"/>
                <w:color w:val="1F497D"/>
                <w:lang w:val="en-US" w:eastAsia="en-US"/>
              </w:rPr>
            </w:pPr>
            <w:r w:rsidRPr="007F6B7D">
              <w:rPr>
                <w:rFonts w:ascii="Calibri" w:eastAsia="Calibri" w:hAnsi="Calibri" w:cs="Calibri"/>
                <w:color w:val="1F497D"/>
                <w:lang w:val="en-US" w:eastAsia="en-US"/>
              </w:rPr>
              <w:t xml:space="preserve">There is a decision for an additional guarantee in Flanders. </w:t>
            </w:r>
          </w:p>
          <w:p w14:paraId="16A9B3C2" w14:textId="77777777" w:rsidR="00AA3623" w:rsidRDefault="00AA3623" w:rsidP="000011DF">
            <w:pPr>
              <w:pStyle w:val="Normal1"/>
              <w:spacing w:before="120" w:line="240" w:lineRule="auto"/>
              <w:jc w:val="both"/>
              <w:rPr>
                <w:rFonts w:ascii="Calibri" w:eastAsia="Calibri" w:hAnsi="Calibri" w:cs="Calibri"/>
                <w:color w:val="1F497D"/>
                <w:lang w:val="en-US" w:eastAsia="en-US"/>
              </w:rPr>
            </w:pPr>
            <w:r w:rsidRPr="007F6B7D">
              <w:rPr>
                <w:rFonts w:ascii="Calibri" w:eastAsia="Calibri" w:hAnsi="Calibri" w:cs="Calibri"/>
                <w:color w:val="1F497D"/>
                <w:lang w:val="en-US" w:eastAsia="en-US"/>
              </w:rPr>
              <w:t>100 million of additional guarantees for companies suffering from the corona-virus for new working capital financing (outstanding debts up to 12 months); guarantees up to 5 years, 75% coverage, 0,5% premium (per year), max guarantee amount of 1,5 million euro.</w:t>
            </w:r>
          </w:p>
          <w:p w14:paraId="0761DD24" w14:textId="77777777" w:rsidR="00AA3623" w:rsidRPr="00DB60C9" w:rsidRDefault="00F937DF" w:rsidP="000011DF">
            <w:pPr>
              <w:spacing w:before="120" w:line="240" w:lineRule="auto"/>
              <w:jc w:val="both"/>
              <w:rPr>
                <w:color w:val="0563C1" w:themeColor="hyperlink"/>
                <w:u w:val="single"/>
                <w:lang w:val="en-US"/>
              </w:rPr>
            </w:pPr>
            <w:hyperlink r:id="rId12" w:history="1">
              <w:r w:rsidR="00AA3623">
                <w:rPr>
                  <w:rStyle w:val="Hyperlink"/>
                  <w:lang w:val="en-US"/>
                </w:rPr>
                <w:t>https://www.demorgen.be/nieuws/dit-zijn-de-ondersteunende-maatregelen-van-de-vlaamse-regering~b4d1066c/</w:t>
              </w:r>
            </w:hyperlink>
            <w:r w:rsidR="00AA3623" w:rsidRPr="00870396">
              <w:rPr>
                <w:rStyle w:val="Hyperlink"/>
                <w:lang w:val="en-US"/>
              </w:rPr>
              <w:t xml:space="preserve"> </w:t>
            </w:r>
            <w:r w:rsidR="00AA3623" w:rsidRPr="00DB60C9">
              <w:rPr>
                <w:rStyle w:val="Hyperlink"/>
                <w:lang w:val="en-US"/>
              </w:rPr>
              <w:t> </w:t>
            </w:r>
          </w:p>
          <w:p w14:paraId="506D6261" w14:textId="77777777" w:rsidR="00AA3623" w:rsidRPr="00490651" w:rsidRDefault="00AA3623" w:rsidP="000011DF">
            <w:pPr>
              <w:pStyle w:val="PlainText"/>
              <w:jc w:val="both"/>
              <w:rPr>
                <w:rFonts w:ascii="Times New Roman" w:hAnsi="Times New Roman" w:cs="Times New Roman"/>
                <w:color w:val="FF0000"/>
                <w:sz w:val="20"/>
                <w:szCs w:val="20"/>
                <w:shd w:val="clear" w:color="auto" w:fill="FFFFFF"/>
                <w:lang w:val="en-US"/>
              </w:rPr>
            </w:pPr>
            <w:r w:rsidRPr="00490651">
              <w:rPr>
                <w:rFonts w:ascii="Times New Roman" w:hAnsi="Times New Roman" w:cs="Times New Roman"/>
                <w:color w:val="FF0000"/>
                <w:sz w:val="20"/>
                <w:szCs w:val="20"/>
                <w:shd w:val="clear" w:color="auto" w:fill="FFFFFF"/>
                <w:lang w:val="en-US"/>
              </w:rPr>
              <w:t xml:space="preserve">Peter Sleeckx </w:t>
            </w:r>
          </w:p>
          <w:p w14:paraId="0F63F4D7" w14:textId="77777777" w:rsidR="00AA3623" w:rsidRPr="00A431DD" w:rsidRDefault="00F937DF" w:rsidP="00B05497">
            <w:pPr>
              <w:pStyle w:val="PlainText"/>
              <w:spacing w:after="120"/>
              <w:jc w:val="both"/>
              <w:rPr>
                <w:rFonts w:eastAsia="Calibri" w:cs="Calibri"/>
                <w:color w:val="1F497D"/>
                <w:lang w:val="en-GB"/>
              </w:rPr>
            </w:pPr>
            <w:hyperlink r:id="rId13" w:history="1">
              <w:r w:rsidR="00AA3623" w:rsidRPr="00490651">
                <w:rPr>
                  <w:rFonts w:ascii="Times New Roman" w:hAnsi="Times New Roman" w:cs="Times New Roman"/>
                  <w:color w:val="FF0000"/>
                  <w:sz w:val="20"/>
                  <w:szCs w:val="20"/>
                  <w:shd w:val="clear" w:color="auto" w:fill="FFFFFF"/>
                  <w:lang w:val="en-US"/>
                </w:rPr>
                <w:t>Peter.Sleeckx@pmv.eu</w:t>
              </w:r>
            </w:hyperlink>
          </w:p>
        </w:tc>
      </w:tr>
      <w:tr w:rsidR="00AA3623" w:rsidRPr="00F5327D" w14:paraId="1A83ACE0" w14:textId="77777777" w:rsidTr="007E0009">
        <w:tc>
          <w:tcPr>
            <w:tcW w:w="2599" w:type="dxa"/>
          </w:tcPr>
          <w:p w14:paraId="10D8859B" w14:textId="69976870" w:rsidR="00AA3623" w:rsidRDefault="00B05497" w:rsidP="00AA3623">
            <w:pPr>
              <w:pStyle w:val="ListParagraph"/>
              <w:numPr>
                <w:ilvl w:val="0"/>
                <w:numId w:val="13"/>
              </w:numPr>
              <w:spacing w:before="120" w:after="0" w:line="240" w:lineRule="auto"/>
              <w:jc w:val="both"/>
              <w:rPr>
                <w:rFonts w:cs="Times New Roman"/>
                <w:b/>
                <w:sz w:val="24"/>
                <w:szCs w:val="24"/>
                <w:lang w:val="en-US"/>
              </w:rPr>
            </w:pPr>
            <w:r>
              <w:br w:type="page"/>
            </w:r>
            <w:r w:rsidR="00AA3623">
              <w:rPr>
                <w:rFonts w:cs="Times New Roman"/>
                <w:b/>
                <w:sz w:val="24"/>
                <w:szCs w:val="24"/>
                <w:lang w:val="en-US"/>
              </w:rPr>
              <w:t>HAMAG-BICRO Croatia</w:t>
            </w:r>
          </w:p>
          <w:p w14:paraId="5D8A56AF" w14:textId="77777777" w:rsidR="00AA3623" w:rsidRPr="00A00401" w:rsidRDefault="00AA3623" w:rsidP="000011DF">
            <w:pPr>
              <w:pStyle w:val="ListParagraph"/>
              <w:spacing w:before="120" w:after="0" w:line="240" w:lineRule="auto"/>
              <w:jc w:val="both"/>
              <w:rPr>
                <w:rFonts w:cs="Times New Roman"/>
                <w:b/>
                <w:sz w:val="24"/>
                <w:szCs w:val="24"/>
                <w:lang w:val="en-US"/>
              </w:rPr>
            </w:pPr>
          </w:p>
        </w:tc>
        <w:tc>
          <w:tcPr>
            <w:tcW w:w="8175" w:type="dxa"/>
          </w:tcPr>
          <w:p w14:paraId="1F2C6D70" w14:textId="77777777" w:rsidR="00AA3623" w:rsidRDefault="00AA3623" w:rsidP="000011DF">
            <w:pPr>
              <w:spacing w:line="240" w:lineRule="auto"/>
              <w:jc w:val="both"/>
              <w:rPr>
                <w:lang w:val="en-US"/>
              </w:rPr>
            </w:pPr>
            <w:r w:rsidRPr="00EE4433">
              <w:rPr>
                <w:color w:val="1F497D"/>
              </w:rPr>
              <w:t xml:space="preserve">The Croatian Government will propose to the EU Commission that the </w:t>
            </w:r>
            <w:r w:rsidRPr="001E4540">
              <w:rPr>
                <w:i/>
                <w:iCs/>
                <w:color w:val="1F497D"/>
              </w:rPr>
              <w:t>de minimis</w:t>
            </w:r>
            <w:r w:rsidRPr="00EE4433">
              <w:rPr>
                <w:color w:val="1F497D"/>
              </w:rPr>
              <w:t xml:space="preserve"> threshold is increased from 200.000 euro to 500.000 euro.</w:t>
            </w:r>
            <w:r>
              <w:rPr>
                <w:lang w:val="en-US"/>
              </w:rPr>
              <w:t xml:space="preserve"> </w:t>
            </w:r>
          </w:p>
          <w:p w14:paraId="066F30D1" w14:textId="016FE32D" w:rsidR="00AA3623" w:rsidRDefault="00AA3623" w:rsidP="000011DF">
            <w:pPr>
              <w:pStyle w:val="Normal1"/>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The Croatian Small Business, Innovation and Investment Agency (HAMAG-BICRO), in cooperation with the Ministry of Economy, Entrepreneurship and Crafts, the Ministry of Regional Development and Funds of the European Union and the Ministry of Agriculture, is implementing nine new measures aimed at micro, small and medium-sized enterprises caused by a coronavirus pandemic.</w:t>
            </w:r>
          </w:p>
          <w:p w14:paraId="72B06E35" w14:textId="77777777" w:rsidR="00AA3623" w:rsidRPr="00572754" w:rsidRDefault="00AA3623" w:rsidP="000011DF">
            <w:pPr>
              <w:pStyle w:val="Normal1"/>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Here are nine specific measures:</w:t>
            </w:r>
          </w:p>
          <w:p w14:paraId="7580CE81" w14:textId="289A3ECD" w:rsidR="00AA3623"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Moratorium on all installments of ESIF Micro and Small Loans and Micro and Small Rural Development Loans by December 31, 2020 and the extended repayment / repayment period of the guaranteed loans. These measures affect the preservation of the liquidity of micro, small and medium-sized enterprises, ensuring their stability and business continuity.</w:t>
            </w:r>
          </w:p>
          <w:p w14:paraId="40681A1C" w14:textId="77777777" w:rsidR="00F5327D" w:rsidRPr="00F5327D" w:rsidRDefault="00F5327D" w:rsidP="00F5327D">
            <w:pPr>
              <w:pStyle w:val="Normal1"/>
              <w:spacing w:before="120" w:line="240" w:lineRule="auto"/>
              <w:ind w:left="720"/>
              <w:jc w:val="both"/>
              <w:rPr>
                <w:rFonts w:ascii="Calibri" w:eastAsia="Calibri" w:hAnsi="Calibri" w:cs="Calibri"/>
                <w:color w:val="1F497D"/>
                <w:sz w:val="14"/>
                <w:szCs w:val="14"/>
                <w:lang w:val="en-US" w:eastAsia="en-US"/>
              </w:rPr>
            </w:pPr>
          </w:p>
          <w:p w14:paraId="697F1064" w14:textId="77777777" w:rsidR="00AA3623" w:rsidRPr="00572754"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lastRenderedPageBreak/>
              <w:t>Increase in allocation for the ESIF financial instrument Micro working capital loans for micro and small businesses (EUR 1,000-25,000; grace period of 12 months; reduction of interest to 0,5% - 0,75% - 1,0%, depending on the development index).</w:t>
            </w:r>
          </w:p>
          <w:p w14:paraId="4AA4AAF6" w14:textId="77777777" w:rsidR="00AA3623" w:rsidRPr="00572754"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Reduction of interest rates on investment loans ESIF Micro and Small loans, with 30% share of working capital, to 0.1% -0.25% -0.5%.</w:t>
            </w:r>
          </w:p>
          <w:p w14:paraId="2A3F8905" w14:textId="77777777" w:rsidR="00AA3623" w:rsidRPr="00572754"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Increase of the maximum guarantee rate for ESIF individual guarantees for working capital loans from 65% to 80% of the loan principal (guaranteed loans guarantee amount of EUR 150,000-1,000,000) through 17 financial institutions.</w:t>
            </w:r>
          </w:p>
          <w:p w14:paraId="62783CA3" w14:textId="77777777" w:rsidR="00AA3623" w:rsidRPr="00572754"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Stronger promotion of HAMAG-BICRO's ESIF Limited Guarantee Portfolio Guarantees up to EUR 150,000 for working capital through 10 financial institutions.</w:t>
            </w:r>
          </w:p>
          <w:p w14:paraId="39BB1F6B" w14:textId="77777777" w:rsidR="00AA3623" w:rsidRPr="00572754"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Establishment of a new financial instrument "COVID-19 Loans / Loans" for working capital for SMEs.</w:t>
            </w:r>
          </w:p>
          <w:p w14:paraId="5AB11C6B" w14:textId="77777777" w:rsidR="00AA3623" w:rsidRPr="00572754"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The establishment of a new financial instrument, the Rural Development Micro Loan for working capital, provides additional liquidity to small business entities in the agricultural, processing and forestry sectors with faster and easier processing, grace periods and lower interest rates.</w:t>
            </w:r>
          </w:p>
          <w:p w14:paraId="579C18D3" w14:textId="77777777" w:rsidR="00AA3623"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A 50% guarantee against the principal of the ESIF Micro working capital loan for the tourism sector, which significantly reduces conventional security instruments and provides a more favorable interest rate of 0.5% - 1.0%, which speeds up the overall processing process.</w:t>
            </w:r>
          </w:p>
          <w:p w14:paraId="1A713C55" w14:textId="77777777" w:rsidR="00AA3623" w:rsidRPr="00572754" w:rsidRDefault="00AA3623" w:rsidP="00AA3623">
            <w:pPr>
              <w:pStyle w:val="Normal1"/>
              <w:numPr>
                <w:ilvl w:val="0"/>
                <w:numId w:val="15"/>
              </w:numPr>
              <w:spacing w:before="120" w:line="240" w:lineRule="auto"/>
              <w:jc w:val="both"/>
              <w:rPr>
                <w:rFonts w:ascii="Calibri" w:eastAsia="Calibri" w:hAnsi="Calibri" w:cs="Calibri"/>
                <w:color w:val="1F497D"/>
                <w:lang w:val="en-US" w:eastAsia="en-US"/>
              </w:rPr>
            </w:pPr>
            <w:r w:rsidRPr="00572754">
              <w:rPr>
                <w:rFonts w:ascii="Calibri" w:eastAsia="Calibri" w:hAnsi="Calibri" w:cs="Calibri"/>
                <w:color w:val="1F497D"/>
                <w:lang w:val="en-US" w:eastAsia="en-US"/>
              </w:rPr>
              <w:t>Rural Development Program - Establishment of Measure B - Individual guarantees up to 80% of the principal of working capital loans (guarantee amount up to EUR 1,000,000) implemented through 16 financial institutions</w:t>
            </w:r>
            <w:r w:rsidRPr="00572754">
              <w:rPr>
                <w:rFonts w:eastAsia="Times New Roman"/>
                <w:lang w:val="en-GB"/>
              </w:rPr>
              <w:t>.</w:t>
            </w:r>
          </w:p>
          <w:p w14:paraId="31553AE4" w14:textId="77777777" w:rsidR="00C83E0B" w:rsidRPr="00C83E0B" w:rsidRDefault="00C83E0B" w:rsidP="000011DF">
            <w:pPr>
              <w:rPr>
                <w:sz w:val="4"/>
                <w:szCs w:val="4"/>
              </w:rPr>
            </w:pPr>
          </w:p>
          <w:p w14:paraId="5CF80087" w14:textId="241AC06F" w:rsidR="00AA3623" w:rsidRPr="00572754" w:rsidRDefault="00F937DF" w:rsidP="000011DF">
            <w:hyperlink r:id="rId14" w:history="1">
              <w:r w:rsidR="00AA3623">
                <w:rPr>
                  <w:rStyle w:val="Hyperlink"/>
                </w:rPr>
                <w:t>https://hamagbicro.hr/mjere-hamag-bicro-a-za-pomoc-mikro-malim-i-srednjim-poduzetnicima-uslijed-pandemije-uzrokovane-koronavirusom/</w:t>
              </w:r>
            </w:hyperlink>
          </w:p>
          <w:p w14:paraId="31391E19" w14:textId="77777777" w:rsidR="00AA3623" w:rsidRPr="00490651" w:rsidRDefault="00AA3623" w:rsidP="000011DF">
            <w:pPr>
              <w:pStyle w:val="PlainText"/>
              <w:jc w:val="both"/>
              <w:rPr>
                <w:rFonts w:ascii="Times New Roman" w:hAnsi="Times New Roman" w:cs="Times New Roman"/>
                <w:color w:val="FF0000"/>
                <w:sz w:val="20"/>
                <w:szCs w:val="20"/>
                <w:lang w:val="it-IT"/>
              </w:rPr>
            </w:pPr>
            <w:r w:rsidRPr="00490651">
              <w:rPr>
                <w:rFonts w:ascii="Times New Roman" w:hAnsi="Times New Roman" w:cs="Times New Roman"/>
                <w:color w:val="FF0000"/>
                <w:sz w:val="20"/>
                <w:szCs w:val="20"/>
                <w:lang w:val="it-IT"/>
              </w:rPr>
              <w:t>Marijana Barsic Barun</w:t>
            </w:r>
          </w:p>
          <w:p w14:paraId="774483DD" w14:textId="77777777" w:rsidR="00AA3623" w:rsidRPr="00A431DD" w:rsidRDefault="00F937DF" w:rsidP="00B05497">
            <w:pPr>
              <w:pStyle w:val="PlainText"/>
              <w:spacing w:after="120"/>
              <w:jc w:val="both"/>
              <w:rPr>
                <w:color w:val="1F497D"/>
                <w:lang w:val="it-IT"/>
              </w:rPr>
            </w:pPr>
            <w:hyperlink r:id="rId15" w:history="1">
              <w:r w:rsidR="00AA3623" w:rsidRPr="00490651">
                <w:rPr>
                  <w:rFonts w:ascii="Times New Roman" w:hAnsi="Times New Roman" w:cs="Times New Roman"/>
                  <w:color w:val="FF0000"/>
                  <w:sz w:val="20"/>
                  <w:szCs w:val="20"/>
                  <w:lang w:val="it-IT"/>
                </w:rPr>
                <w:t>Marijana.BarsicBarun@hamagbicro.hr</w:t>
              </w:r>
            </w:hyperlink>
          </w:p>
        </w:tc>
      </w:tr>
      <w:tr w:rsidR="00AA3623" w:rsidRPr="00E62D5E" w14:paraId="49B63DC5" w14:textId="77777777" w:rsidTr="007E0009">
        <w:tc>
          <w:tcPr>
            <w:tcW w:w="2599" w:type="dxa"/>
          </w:tcPr>
          <w:p w14:paraId="488BBCF4" w14:textId="6E5B6256" w:rsidR="00AA3623" w:rsidRDefault="005A7D9B" w:rsidP="00AA3623">
            <w:pPr>
              <w:pStyle w:val="ListParagraph"/>
              <w:numPr>
                <w:ilvl w:val="0"/>
                <w:numId w:val="13"/>
              </w:numPr>
              <w:spacing w:before="120" w:after="0" w:line="240" w:lineRule="auto"/>
              <w:jc w:val="both"/>
              <w:rPr>
                <w:rFonts w:cs="Times New Roman"/>
                <w:b/>
                <w:sz w:val="24"/>
                <w:szCs w:val="24"/>
                <w:lang w:val="en-US"/>
              </w:rPr>
            </w:pPr>
            <w:r w:rsidRPr="002E58FC">
              <w:rPr>
                <w:lang w:val="it-IT"/>
              </w:rPr>
              <w:lastRenderedPageBreak/>
              <w:br w:type="page"/>
            </w:r>
            <w:r w:rsidR="00AA3623" w:rsidRPr="0013450A">
              <w:rPr>
                <w:rFonts w:cs="Times New Roman"/>
                <w:b/>
                <w:sz w:val="24"/>
                <w:szCs w:val="24"/>
                <w:lang w:val="en-US"/>
              </w:rPr>
              <w:t>CMZRB</w:t>
            </w:r>
            <w:r w:rsidR="00AA3623">
              <w:rPr>
                <w:rFonts w:cs="Times New Roman"/>
                <w:b/>
                <w:sz w:val="24"/>
                <w:szCs w:val="24"/>
                <w:lang w:val="en-US"/>
              </w:rPr>
              <w:t xml:space="preserve"> </w:t>
            </w:r>
          </w:p>
          <w:p w14:paraId="33DCC398"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Czech Republic</w:t>
            </w:r>
          </w:p>
          <w:p w14:paraId="374867B9" w14:textId="77777777" w:rsidR="00AA3623" w:rsidRDefault="00AA3623" w:rsidP="000011DF">
            <w:pPr>
              <w:pStyle w:val="ListParagraph"/>
              <w:spacing w:before="120" w:after="0" w:line="240" w:lineRule="auto"/>
              <w:jc w:val="both"/>
              <w:rPr>
                <w:rFonts w:cs="Times New Roman"/>
                <w:b/>
                <w:sz w:val="24"/>
                <w:szCs w:val="24"/>
                <w:lang w:val="en-US"/>
              </w:rPr>
            </w:pPr>
          </w:p>
        </w:tc>
        <w:tc>
          <w:tcPr>
            <w:tcW w:w="8175" w:type="dxa"/>
          </w:tcPr>
          <w:p w14:paraId="6FC00550" w14:textId="77777777" w:rsidR="00AA3623" w:rsidRPr="0082449C" w:rsidRDefault="00AA3623" w:rsidP="000011DF">
            <w:pPr>
              <w:spacing w:before="120" w:line="240" w:lineRule="auto"/>
              <w:jc w:val="both"/>
              <w:rPr>
                <w:color w:val="1F497D"/>
              </w:rPr>
            </w:pPr>
            <w:r w:rsidRPr="0082449C">
              <w:rPr>
                <w:color w:val="1F497D"/>
              </w:rPr>
              <w:t xml:space="preserve">Czech government approved a new program „COVID Loan” financed from the state budget (national scheme). The aim is to support SMEs that are somehow affected by the coronavirus infection and related preventive measures. </w:t>
            </w:r>
          </w:p>
          <w:p w14:paraId="3498B77D" w14:textId="1D1EF18D" w:rsidR="00AA3623" w:rsidRDefault="00AA3623" w:rsidP="00F5327D">
            <w:pPr>
              <w:spacing w:before="120" w:after="0" w:line="240" w:lineRule="auto"/>
              <w:jc w:val="both"/>
              <w:rPr>
                <w:color w:val="1F497D"/>
              </w:rPr>
            </w:pPr>
            <w:r w:rsidRPr="0082449C">
              <w:rPr>
                <w:color w:val="1F497D"/>
              </w:rPr>
              <w:t xml:space="preserve">Parameters: interest-free (working capital) loan covering up to 90% of eligible expenses of the project, loan amount EUR 20,000 - 600,000, 2-year maturity, grace period up to 1 year. </w:t>
            </w:r>
          </w:p>
          <w:p w14:paraId="4725734E" w14:textId="77777777" w:rsidR="00F5327D" w:rsidRPr="00F5327D" w:rsidRDefault="00F5327D" w:rsidP="00F5327D">
            <w:pPr>
              <w:spacing w:before="120" w:after="0" w:line="240" w:lineRule="auto"/>
              <w:jc w:val="both"/>
              <w:rPr>
                <w:color w:val="1F497D"/>
                <w:sz w:val="2"/>
                <w:szCs w:val="2"/>
              </w:rPr>
            </w:pPr>
          </w:p>
          <w:p w14:paraId="3031FE6C" w14:textId="77777777" w:rsidR="00F5327D" w:rsidRDefault="00AA3623" w:rsidP="00F5327D">
            <w:pPr>
              <w:spacing w:after="0" w:line="240" w:lineRule="auto"/>
              <w:jc w:val="both"/>
              <w:rPr>
                <w:color w:val="1F497D"/>
              </w:rPr>
            </w:pPr>
            <w:r w:rsidRPr="0082449C">
              <w:rPr>
                <w:color w:val="1F497D"/>
              </w:rPr>
              <w:t>Start of the program: 1 April 2020</w:t>
            </w:r>
          </w:p>
          <w:p w14:paraId="3737D560" w14:textId="5273668D" w:rsidR="00AA3623" w:rsidRDefault="00AA3623" w:rsidP="00F5327D">
            <w:pPr>
              <w:spacing w:after="120" w:line="240" w:lineRule="auto"/>
              <w:jc w:val="both"/>
              <w:rPr>
                <w:color w:val="1F497D"/>
              </w:rPr>
            </w:pPr>
            <w:r w:rsidRPr="0082449C">
              <w:rPr>
                <w:color w:val="1F497D"/>
              </w:rPr>
              <w:t>Total amount of the program: ca 24 million EUR</w:t>
            </w:r>
          </w:p>
          <w:p w14:paraId="74018F2D" w14:textId="78F71C9B" w:rsidR="00AA3623" w:rsidRPr="004660D3" w:rsidRDefault="00AA3623" w:rsidP="000011DF">
            <w:pPr>
              <w:pStyle w:val="PlainText"/>
              <w:jc w:val="both"/>
              <w:rPr>
                <w:rFonts w:ascii="Times New Roman" w:hAnsi="Times New Roman" w:cs="Times New Roman"/>
                <w:color w:val="FF0000"/>
                <w:sz w:val="20"/>
                <w:szCs w:val="20"/>
                <w:lang w:val="nl-BE"/>
              </w:rPr>
            </w:pPr>
            <w:r w:rsidRPr="004660D3">
              <w:rPr>
                <w:rFonts w:ascii="Times New Roman" w:hAnsi="Times New Roman" w:cs="Times New Roman"/>
                <w:color w:val="FF0000"/>
                <w:sz w:val="20"/>
                <w:szCs w:val="20"/>
                <w:lang w:val="nl-BE"/>
              </w:rPr>
              <w:t>Petr K</w:t>
            </w:r>
            <w:r w:rsidR="00F5327D">
              <w:rPr>
                <w:rFonts w:ascii="Times New Roman" w:hAnsi="Times New Roman" w:cs="Times New Roman"/>
                <w:color w:val="FF0000"/>
                <w:sz w:val="20"/>
                <w:szCs w:val="20"/>
                <w:lang w:val="nl-BE"/>
              </w:rPr>
              <w:t>rupa</w:t>
            </w:r>
          </w:p>
          <w:p w14:paraId="7ADEA03D" w14:textId="77777777" w:rsidR="00AA3623" w:rsidRPr="00B51232" w:rsidRDefault="00F937DF" w:rsidP="00B05497">
            <w:pPr>
              <w:pStyle w:val="PlainText"/>
              <w:spacing w:after="120"/>
              <w:jc w:val="both"/>
              <w:rPr>
                <w:color w:val="1F497D"/>
                <w:lang w:val="nl-BE"/>
              </w:rPr>
            </w:pPr>
            <w:hyperlink r:id="rId16" w:history="1">
              <w:r w:rsidR="00AA3623" w:rsidRPr="004660D3">
                <w:rPr>
                  <w:rFonts w:ascii="Times New Roman" w:hAnsi="Times New Roman" w:cs="Times New Roman"/>
                  <w:color w:val="FF0000"/>
                  <w:sz w:val="20"/>
                  <w:szCs w:val="20"/>
                  <w:lang w:val="nl-BE"/>
                </w:rPr>
                <w:t>KRUPA@cmzrb.cz</w:t>
              </w:r>
            </w:hyperlink>
          </w:p>
        </w:tc>
      </w:tr>
      <w:tr w:rsidR="00AA3623" w:rsidRPr="00490651" w14:paraId="2CD7119D" w14:textId="77777777" w:rsidTr="007E0009">
        <w:tc>
          <w:tcPr>
            <w:tcW w:w="2599" w:type="dxa"/>
          </w:tcPr>
          <w:p w14:paraId="6F6C80E9" w14:textId="77777777" w:rsidR="00AA3623" w:rsidRPr="0013450A"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t xml:space="preserve">Denmark </w:t>
            </w:r>
          </w:p>
        </w:tc>
        <w:tc>
          <w:tcPr>
            <w:tcW w:w="8175" w:type="dxa"/>
          </w:tcPr>
          <w:p w14:paraId="309A5C63" w14:textId="77777777" w:rsidR="00AA3623" w:rsidRPr="00F15A54" w:rsidRDefault="00F937DF" w:rsidP="000011DF">
            <w:pPr>
              <w:spacing w:before="120" w:line="240" w:lineRule="auto"/>
              <w:jc w:val="both"/>
              <w:rPr>
                <w:i/>
                <w:iCs/>
                <w:color w:val="1F497D"/>
              </w:rPr>
            </w:pPr>
            <w:hyperlink r:id="rId17" w:history="1">
              <w:r w:rsidR="00AA3623" w:rsidRPr="00EC1B4D">
                <w:rPr>
                  <w:rStyle w:val="Hyperlink"/>
                  <w:lang w:val="en-US"/>
                </w:rPr>
                <w:t>https://ec.europa.eu/commission/presscorner/detail/en/ip_20_454</w:t>
              </w:r>
            </w:hyperlink>
          </w:p>
        </w:tc>
      </w:tr>
      <w:tr w:rsidR="00AA3623" w:rsidRPr="00E62D5E" w14:paraId="07D8D431" w14:textId="77777777" w:rsidTr="007E0009">
        <w:tc>
          <w:tcPr>
            <w:tcW w:w="2599" w:type="dxa"/>
          </w:tcPr>
          <w:p w14:paraId="51CB9118"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proofErr w:type="spellStart"/>
            <w:r>
              <w:rPr>
                <w:rFonts w:cs="Times New Roman"/>
                <w:b/>
                <w:sz w:val="24"/>
                <w:szCs w:val="24"/>
                <w:lang w:val="en-US"/>
              </w:rPr>
              <w:t>Finnvera</w:t>
            </w:r>
            <w:proofErr w:type="spellEnd"/>
          </w:p>
          <w:p w14:paraId="098A367D" w14:textId="77777777" w:rsidR="00AA3623" w:rsidRDefault="00AA3623" w:rsidP="000011DF">
            <w:pPr>
              <w:pStyle w:val="ListParagraph"/>
              <w:spacing w:before="120" w:after="0" w:line="240" w:lineRule="auto"/>
              <w:ind w:left="1080"/>
              <w:jc w:val="both"/>
              <w:rPr>
                <w:rFonts w:cs="Times New Roman"/>
                <w:b/>
                <w:sz w:val="24"/>
                <w:szCs w:val="24"/>
                <w:lang w:val="en-US"/>
              </w:rPr>
            </w:pPr>
            <w:r>
              <w:rPr>
                <w:rFonts w:cs="Times New Roman"/>
                <w:b/>
                <w:sz w:val="24"/>
                <w:szCs w:val="24"/>
                <w:lang w:val="en-US"/>
              </w:rPr>
              <w:t>Finland</w:t>
            </w:r>
          </w:p>
        </w:tc>
        <w:tc>
          <w:tcPr>
            <w:tcW w:w="8175" w:type="dxa"/>
          </w:tcPr>
          <w:p w14:paraId="16591B0D" w14:textId="77777777" w:rsidR="00AA3623" w:rsidRDefault="00AA3623" w:rsidP="000011DF">
            <w:pPr>
              <w:rPr>
                <w:color w:val="1F497D"/>
              </w:rPr>
            </w:pPr>
            <w:r>
              <w:rPr>
                <w:color w:val="1F497D"/>
              </w:rPr>
              <w:t>The main decisions they made are:</w:t>
            </w:r>
          </w:p>
          <w:p w14:paraId="736F79B1" w14:textId="77777777" w:rsidR="00AA3623" w:rsidRDefault="00AA3623" w:rsidP="00C83E0B">
            <w:pPr>
              <w:pStyle w:val="ListParagraph"/>
              <w:numPr>
                <w:ilvl w:val="0"/>
                <w:numId w:val="14"/>
              </w:numPr>
              <w:spacing w:after="120" w:line="240" w:lineRule="auto"/>
              <w:contextualSpacing w:val="0"/>
              <w:rPr>
                <w:rFonts w:eastAsia="Times New Roman"/>
                <w:color w:val="1F497D"/>
              </w:rPr>
            </w:pPr>
            <w:r>
              <w:rPr>
                <w:rFonts w:eastAsia="Times New Roman"/>
                <w:color w:val="1F497D"/>
              </w:rPr>
              <w:t xml:space="preserve">at first </w:t>
            </w:r>
            <w:proofErr w:type="spellStart"/>
            <w:r>
              <w:rPr>
                <w:rFonts w:eastAsia="Times New Roman"/>
                <w:color w:val="1F497D"/>
              </w:rPr>
              <w:t>they advice</w:t>
            </w:r>
            <w:proofErr w:type="spellEnd"/>
            <w:r>
              <w:rPr>
                <w:rFonts w:eastAsia="Times New Roman"/>
                <w:color w:val="1F497D"/>
              </w:rPr>
              <w:t xml:space="preserve"> companies to contact their </w:t>
            </w:r>
            <w:proofErr w:type="spellStart"/>
            <w:r>
              <w:rPr>
                <w:rFonts w:eastAsia="Times New Roman"/>
                <w:color w:val="1F497D"/>
              </w:rPr>
              <w:t>housebank</w:t>
            </w:r>
            <w:proofErr w:type="spellEnd"/>
          </w:p>
          <w:p w14:paraId="169C6F71" w14:textId="77777777" w:rsidR="00AA3623" w:rsidRDefault="00AA3623" w:rsidP="00C83E0B">
            <w:pPr>
              <w:pStyle w:val="ListParagraph"/>
              <w:numPr>
                <w:ilvl w:val="0"/>
                <w:numId w:val="14"/>
              </w:numPr>
              <w:spacing w:after="120" w:line="240" w:lineRule="auto"/>
              <w:contextualSpacing w:val="0"/>
              <w:rPr>
                <w:rFonts w:eastAsia="Times New Roman"/>
                <w:color w:val="1F497D"/>
              </w:rPr>
            </w:pPr>
            <w:proofErr w:type="spellStart"/>
            <w:r>
              <w:rPr>
                <w:rFonts w:eastAsia="Times New Roman"/>
                <w:color w:val="1F497D"/>
              </w:rPr>
              <w:t>Finnvera</w:t>
            </w:r>
            <w:proofErr w:type="spellEnd"/>
            <w:r>
              <w:rPr>
                <w:rFonts w:eastAsia="Times New Roman"/>
                <w:color w:val="1F497D"/>
              </w:rPr>
              <w:t xml:space="preserve"> is ready to prolong both their guarantee and loan repayment days and giving amortisation free period</w:t>
            </w:r>
          </w:p>
          <w:p w14:paraId="0A6C0A83" w14:textId="77777777" w:rsidR="00AA3623" w:rsidRDefault="00AA3623" w:rsidP="00C83E0B">
            <w:pPr>
              <w:pStyle w:val="ListParagraph"/>
              <w:numPr>
                <w:ilvl w:val="0"/>
                <w:numId w:val="14"/>
              </w:numPr>
              <w:spacing w:after="120" w:line="240" w:lineRule="auto"/>
              <w:contextualSpacing w:val="0"/>
              <w:rPr>
                <w:rFonts w:eastAsia="Times New Roman"/>
                <w:color w:val="1F497D"/>
              </w:rPr>
            </w:pPr>
            <w:r>
              <w:rPr>
                <w:rFonts w:eastAsia="Times New Roman"/>
                <w:color w:val="1F497D"/>
              </w:rPr>
              <w:t>they are also ready to use 80 % guarantees whenever it´s possible</w:t>
            </w:r>
          </w:p>
          <w:p w14:paraId="6DDBE980" w14:textId="77777777" w:rsidR="00AA3623" w:rsidRDefault="00AA3623" w:rsidP="00C83E0B">
            <w:pPr>
              <w:pStyle w:val="ListParagraph"/>
              <w:numPr>
                <w:ilvl w:val="0"/>
                <w:numId w:val="14"/>
              </w:numPr>
              <w:spacing w:after="120" w:line="240" w:lineRule="auto"/>
              <w:contextualSpacing w:val="0"/>
              <w:rPr>
                <w:rFonts w:eastAsia="Times New Roman"/>
                <w:color w:val="1F497D"/>
              </w:rPr>
            </w:pPr>
            <w:r>
              <w:rPr>
                <w:rFonts w:eastAsia="Times New Roman"/>
                <w:color w:val="1F497D"/>
              </w:rPr>
              <w:lastRenderedPageBreak/>
              <w:t>we have broadened the use of SME-guarantee (within COSME) also to such companies which don´t necessarily seek growth so that they can use it also in COVID-19 based financing needs</w:t>
            </w:r>
          </w:p>
          <w:p w14:paraId="2899D042" w14:textId="77777777" w:rsidR="00AA3623" w:rsidRDefault="00AA3623" w:rsidP="00C83E0B">
            <w:pPr>
              <w:pStyle w:val="ListParagraph"/>
              <w:numPr>
                <w:ilvl w:val="0"/>
                <w:numId w:val="14"/>
              </w:numPr>
              <w:spacing w:after="120" w:line="240" w:lineRule="auto"/>
              <w:contextualSpacing w:val="0"/>
              <w:rPr>
                <w:rFonts w:eastAsia="Times New Roman"/>
                <w:color w:val="1F497D"/>
              </w:rPr>
            </w:pPr>
            <w:r>
              <w:rPr>
                <w:rFonts w:eastAsia="Times New Roman"/>
                <w:color w:val="1F497D"/>
              </w:rPr>
              <w:t>their outstanding liabilities are roughly 2 bn euros and the maximum amount is 4,2 bn euros so they have enough capacity to finance Finnish SMEs if needed</w:t>
            </w:r>
          </w:p>
          <w:p w14:paraId="2FD73816" w14:textId="77777777" w:rsidR="00AA3623" w:rsidRDefault="00AA3623" w:rsidP="00C83E0B">
            <w:pPr>
              <w:pStyle w:val="ListParagraph"/>
              <w:numPr>
                <w:ilvl w:val="0"/>
                <w:numId w:val="14"/>
              </w:numPr>
              <w:spacing w:after="120" w:line="240" w:lineRule="auto"/>
              <w:contextualSpacing w:val="0"/>
              <w:rPr>
                <w:rFonts w:eastAsia="Times New Roman"/>
                <w:color w:val="1F497D"/>
              </w:rPr>
            </w:pPr>
            <w:r>
              <w:rPr>
                <w:rFonts w:eastAsia="Times New Roman"/>
                <w:color w:val="1F497D"/>
              </w:rPr>
              <w:t>furthermore they are recruiting some extra people to help them with the applications (bot internally and recruiting lately retired people to work)</w:t>
            </w:r>
          </w:p>
          <w:p w14:paraId="6E8F8219" w14:textId="77777777" w:rsidR="00AA3623" w:rsidRPr="000D458F" w:rsidRDefault="00AA3623" w:rsidP="000011DF">
            <w:pPr>
              <w:rPr>
                <w:color w:val="1F497D"/>
              </w:rPr>
            </w:pPr>
            <w:r>
              <w:rPr>
                <w:color w:val="1F497D"/>
              </w:rPr>
              <w:t>In Finland the main ministries have also publicly told many times that all possible means to help companies can be taken into use – even the tax authorities.</w:t>
            </w:r>
          </w:p>
          <w:p w14:paraId="127EFEAF" w14:textId="77777777" w:rsidR="00AA3623" w:rsidRPr="004660D3" w:rsidRDefault="00AA3623" w:rsidP="000011DF">
            <w:pPr>
              <w:pStyle w:val="PlainText"/>
              <w:jc w:val="both"/>
              <w:rPr>
                <w:rFonts w:ascii="Times New Roman" w:hAnsi="Times New Roman" w:cs="Times New Roman"/>
                <w:color w:val="FF0000"/>
                <w:sz w:val="20"/>
                <w:szCs w:val="20"/>
                <w:lang w:val="nl-BE"/>
              </w:rPr>
            </w:pPr>
            <w:r w:rsidRPr="004660D3">
              <w:rPr>
                <w:rFonts w:ascii="Times New Roman" w:hAnsi="Times New Roman" w:cs="Times New Roman"/>
                <w:color w:val="FF0000"/>
                <w:sz w:val="20"/>
                <w:szCs w:val="20"/>
                <w:lang w:val="nl-BE"/>
              </w:rPr>
              <w:t>Kari Villikka</w:t>
            </w:r>
          </w:p>
          <w:p w14:paraId="2CFD2DF5" w14:textId="77777777" w:rsidR="00AA3623" w:rsidRPr="00742A0C" w:rsidRDefault="00F937DF" w:rsidP="00B05497">
            <w:pPr>
              <w:pStyle w:val="PlainText"/>
              <w:spacing w:after="120"/>
              <w:jc w:val="both"/>
              <w:rPr>
                <w:lang w:val="fi-FI"/>
              </w:rPr>
            </w:pPr>
            <w:hyperlink r:id="rId18" w:history="1">
              <w:r w:rsidR="00AA3623" w:rsidRPr="004660D3">
                <w:rPr>
                  <w:rFonts w:ascii="Times New Roman" w:hAnsi="Times New Roman" w:cs="Times New Roman"/>
                  <w:color w:val="FF0000"/>
                  <w:sz w:val="20"/>
                  <w:szCs w:val="20"/>
                  <w:lang w:val="nl-BE"/>
                </w:rPr>
                <w:t>Kari.Villikka@finnvera.fi</w:t>
              </w:r>
            </w:hyperlink>
          </w:p>
        </w:tc>
      </w:tr>
      <w:tr w:rsidR="00AA3623" w:rsidRPr="00E62D5E" w14:paraId="58CC71B3" w14:textId="77777777" w:rsidTr="00C83E0B">
        <w:trPr>
          <w:trHeight w:val="1430"/>
        </w:trPr>
        <w:tc>
          <w:tcPr>
            <w:tcW w:w="2599" w:type="dxa"/>
          </w:tcPr>
          <w:p w14:paraId="24511A85"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lastRenderedPageBreak/>
              <w:t>EDC</w:t>
            </w:r>
          </w:p>
          <w:p w14:paraId="56731511"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France </w:t>
            </w:r>
          </w:p>
        </w:tc>
        <w:tc>
          <w:tcPr>
            <w:tcW w:w="8175" w:type="dxa"/>
          </w:tcPr>
          <w:p w14:paraId="17FC0239" w14:textId="0591AAC0" w:rsidR="00AA3623" w:rsidRDefault="00AA3623" w:rsidP="00C83E0B">
            <w:pPr>
              <w:spacing w:before="120" w:after="0" w:line="240" w:lineRule="auto"/>
              <w:rPr>
                <w:color w:val="1F497D"/>
                <w:lang w:val="en-US"/>
              </w:rPr>
            </w:pPr>
            <w:r>
              <w:rPr>
                <w:color w:val="1F497D"/>
                <w:lang w:val="en-US"/>
              </w:rPr>
              <w:t>EDC is</w:t>
            </w:r>
            <w:r w:rsidRPr="00701381">
              <w:rPr>
                <w:color w:val="1F497D"/>
                <w:lang w:val="en-US"/>
              </w:rPr>
              <w:t xml:space="preserve"> looking at granting 6 months deferral on reimbursement of </w:t>
            </w:r>
            <w:r>
              <w:rPr>
                <w:color w:val="1F497D"/>
                <w:lang w:val="en-US"/>
              </w:rPr>
              <w:t xml:space="preserve">the </w:t>
            </w:r>
            <w:r w:rsidRPr="00701381">
              <w:rPr>
                <w:color w:val="1F497D"/>
                <w:lang w:val="en-US"/>
              </w:rPr>
              <w:t>loan in agreement with the banks</w:t>
            </w:r>
            <w:r>
              <w:rPr>
                <w:color w:val="1F497D"/>
                <w:lang w:val="en-US"/>
              </w:rPr>
              <w:t xml:space="preserve">. </w:t>
            </w:r>
          </w:p>
          <w:p w14:paraId="40502CC4" w14:textId="77777777" w:rsidR="00C83E0B" w:rsidRPr="00C83E0B" w:rsidRDefault="00C83E0B" w:rsidP="00C83E0B">
            <w:pPr>
              <w:spacing w:before="120" w:after="0" w:line="240" w:lineRule="auto"/>
              <w:rPr>
                <w:color w:val="1F497D"/>
                <w:sz w:val="4"/>
                <w:szCs w:val="4"/>
                <w:lang w:val="en-US"/>
              </w:rPr>
            </w:pPr>
          </w:p>
          <w:p w14:paraId="39EDFE67" w14:textId="77777777" w:rsidR="00AA3623" w:rsidRPr="004660D3" w:rsidRDefault="00AA3623" w:rsidP="000011DF">
            <w:pPr>
              <w:pStyle w:val="PlainText"/>
              <w:jc w:val="both"/>
              <w:rPr>
                <w:rFonts w:ascii="Times New Roman" w:hAnsi="Times New Roman" w:cs="Times New Roman"/>
                <w:color w:val="FF0000"/>
                <w:sz w:val="20"/>
                <w:szCs w:val="20"/>
                <w:lang w:val="nl-BE"/>
              </w:rPr>
            </w:pPr>
            <w:r w:rsidRPr="004660D3">
              <w:rPr>
                <w:rFonts w:ascii="Times New Roman" w:hAnsi="Times New Roman" w:cs="Times New Roman"/>
                <w:color w:val="FF0000"/>
                <w:sz w:val="20"/>
                <w:szCs w:val="20"/>
                <w:lang w:val="nl-BE"/>
              </w:rPr>
              <w:t>Yvan PARROT</w:t>
            </w:r>
          </w:p>
          <w:p w14:paraId="7A458A02" w14:textId="77777777" w:rsidR="00AA3623" w:rsidRPr="00B51232" w:rsidRDefault="00F937DF" w:rsidP="00B05497">
            <w:pPr>
              <w:pStyle w:val="PlainText"/>
              <w:spacing w:after="120"/>
              <w:jc w:val="both"/>
              <w:rPr>
                <w:color w:val="1F497D"/>
                <w:lang w:val="nl-BE"/>
              </w:rPr>
            </w:pPr>
            <w:hyperlink r:id="rId19" w:history="1">
              <w:r w:rsidR="00AA3623" w:rsidRPr="004660D3">
                <w:rPr>
                  <w:rFonts w:ascii="Times New Roman" w:hAnsi="Times New Roman" w:cs="Times New Roman"/>
                  <w:color w:val="FF0000"/>
                  <w:sz w:val="20"/>
                  <w:szCs w:val="20"/>
                  <w:lang w:val="nl-BE"/>
                </w:rPr>
                <w:t>Yvan.PARROT@eurocaution.net</w:t>
              </w:r>
            </w:hyperlink>
          </w:p>
        </w:tc>
      </w:tr>
      <w:tr w:rsidR="00AA3623" w:rsidRPr="00490651" w14:paraId="7C8CE862" w14:textId="77777777" w:rsidTr="007E0009">
        <w:tc>
          <w:tcPr>
            <w:tcW w:w="2599" w:type="dxa"/>
          </w:tcPr>
          <w:p w14:paraId="3632CD59"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proofErr w:type="spellStart"/>
            <w:r>
              <w:rPr>
                <w:rFonts w:cs="Times New Roman"/>
                <w:b/>
                <w:sz w:val="24"/>
                <w:szCs w:val="24"/>
                <w:lang w:val="en-US"/>
              </w:rPr>
              <w:t>Bpifrance</w:t>
            </w:r>
            <w:proofErr w:type="spellEnd"/>
          </w:p>
          <w:p w14:paraId="55FCA9B2"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France </w:t>
            </w:r>
          </w:p>
        </w:tc>
        <w:tc>
          <w:tcPr>
            <w:tcW w:w="8175" w:type="dxa"/>
          </w:tcPr>
          <w:p w14:paraId="5906EDC0" w14:textId="2DC10B21" w:rsidR="00AA3623" w:rsidRDefault="00AA3623" w:rsidP="00C83E0B">
            <w:pPr>
              <w:spacing w:before="120" w:after="0" w:line="240" w:lineRule="auto"/>
              <w:rPr>
                <w:rFonts w:eastAsia="Times New Roman"/>
                <w:color w:val="1F497D"/>
              </w:rPr>
            </w:pPr>
            <w:r w:rsidRPr="005A7D9B">
              <w:rPr>
                <w:rFonts w:eastAsia="Times New Roman"/>
                <w:color w:val="1F497D"/>
              </w:rPr>
              <w:t>EMERGENCY SUPPORT PLAN FOR COMPANIES</w:t>
            </w:r>
          </w:p>
          <w:p w14:paraId="61D4C3B5" w14:textId="77777777" w:rsidR="00C83E0B" w:rsidRPr="005A7D9B" w:rsidRDefault="00C83E0B" w:rsidP="005A7D9B">
            <w:pPr>
              <w:spacing w:after="0" w:line="240" w:lineRule="auto"/>
              <w:rPr>
                <w:rFonts w:eastAsia="Times New Roman"/>
                <w:color w:val="1F497D"/>
              </w:rPr>
            </w:pPr>
          </w:p>
          <w:p w14:paraId="79DBC1A7" w14:textId="77777777" w:rsidR="00AA3623" w:rsidRPr="005A7D9B" w:rsidRDefault="00AA3623" w:rsidP="00C83E0B">
            <w:pPr>
              <w:spacing w:after="120" w:line="240" w:lineRule="auto"/>
              <w:rPr>
                <w:rFonts w:eastAsia="Times New Roman"/>
                <w:color w:val="1F497D"/>
              </w:rPr>
            </w:pPr>
            <w:r w:rsidRPr="005A7D9B">
              <w:rPr>
                <w:rFonts w:eastAsia="Times New Roman"/>
                <w:color w:val="1F497D"/>
              </w:rPr>
              <w:t xml:space="preserve">As a partner of your bank and the regions, </w:t>
            </w:r>
            <w:proofErr w:type="spellStart"/>
            <w:r w:rsidRPr="005A7D9B">
              <w:rPr>
                <w:rFonts w:eastAsia="Times New Roman"/>
                <w:color w:val="1F497D"/>
              </w:rPr>
              <w:t>Bpifrance</w:t>
            </w:r>
            <w:proofErr w:type="spellEnd"/>
            <w:r w:rsidRPr="005A7D9B">
              <w:rPr>
                <w:rFonts w:eastAsia="Times New Roman"/>
                <w:color w:val="1F497D"/>
              </w:rPr>
              <w:t xml:space="preserve"> helps:</w:t>
            </w:r>
          </w:p>
          <w:p w14:paraId="7EA11AE0" w14:textId="77777777" w:rsidR="00AA3623" w:rsidRPr="000E4922" w:rsidRDefault="00AA3623" w:rsidP="00C83E0B">
            <w:pPr>
              <w:pStyle w:val="ListParagraph"/>
              <w:numPr>
                <w:ilvl w:val="0"/>
                <w:numId w:val="14"/>
              </w:numPr>
              <w:spacing w:after="120" w:line="240" w:lineRule="auto"/>
              <w:contextualSpacing w:val="0"/>
              <w:rPr>
                <w:rFonts w:eastAsia="Times New Roman"/>
                <w:color w:val="1F497D"/>
              </w:rPr>
            </w:pPr>
            <w:proofErr w:type="spellStart"/>
            <w:r w:rsidRPr="000E4922">
              <w:rPr>
                <w:rFonts w:eastAsia="Times New Roman"/>
                <w:color w:val="1F497D"/>
              </w:rPr>
              <w:t>Bpifrance</w:t>
            </w:r>
            <w:proofErr w:type="spellEnd"/>
            <w:r w:rsidRPr="000E4922">
              <w:rPr>
                <w:rFonts w:eastAsia="Times New Roman"/>
                <w:color w:val="1F497D"/>
              </w:rPr>
              <w:t xml:space="preserve"> guarantees your bank up to 90% (before 70%) if it gives a loan for 3 to 7 years...</w:t>
            </w:r>
          </w:p>
          <w:p w14:paraId="05910348" w14:textId="77777777" w:rsidR="00AA3623" w:rsidRPr="000E4922" w:rsidRDefault="00AA3623" w:rsidP="00C83E0B">
            <w:pPr>
              <w:pStyle w:val="ListParagraph"/>
              <w:numPr>
                <w:ilvl w:val="0"/>
                <w:numId w:val="14"/>
              </w:numPr>
              <w:spacing w:after="120" w:line="240" w:lineRule="auto"/>
              <w:contextualSpacing w:val="0"/>
              <w:rPr>
                <w:rFonts w:eastAsia="Times New Roman"/>
                <w:color w:val="1F497D"/>
              </w:rPr>
            </w:pPr>
            <w:proofErr w:type="spellStart"/>
            <w:r w:rsidRPr="000E4922">
              <w:rPr>
                <w:rFonts w:eastAsia="Times New Roman"/>
                <w:color w:val="1F497D"/>
              </w:rPr>
              <w:t>Bpifrance</w:t>
            </w:r>
            <w:proofErr w:type="spellEnd"/>
            <w:r w:rsidRPr="000E4922">
              <w:rPr>
                <w:rFonts w:eastAsia="Times New Roman"/>
                <w:color w:val="1F497D"/>
              </w:rPr>
              <w:t xml:space="preserve"> guarantees up to 90% of overdraft if the bank confirms it over 12 to 18 months</w:t>
            </w:r>
          </w:p>
          <w:p w14:paraId="27379708" w14:textId="77777777" w:rsidR="00AA3623" w:rsidRPr="005A7D9B" w:rsidRDefault="00AA3623" w:rsidP="00C83E0B">
            <w:pPr>
              <w:spacing w:after="120" w:line="240" w:lineRule="auto"/>
              <w:ind w:left="720" w:hanging="360"/>
              <w:rPr>
                <w:rFonts w:eastAsia="Times New Roman"/>
                <w:color w:val="1F497D"/>
              </w:rPr>
            </w:pPr>
            <w:proofErr w:type="spellStart"/>
            <w:r w:rsidRPr="005A7D9B">
              <w:rPr>
                <w:rFonts w:eastAsia="Times New Roman"/>
                <w:color w:val="1F497D"/>
              </w:rPr>
              <w:t>Bpifrance</w:t>
            </w:r>
            <w:proofErr w:type="spellEnd"/>
            <w:r w:rsidRPr="005A7D9B">
              <w:rPr>
                <w:rFonts w:eastAsia="Times New Roman"/>
                <w:color w:val="1F497D"/>
              </w:rPr>
              <w:t xml:space="preserve"> brings cash directly</w:t>
            </w:r>
          </w:p>
          <w:p w14:paraId="1AA9D863" w14:textId="77777777" w:rsidR="00AA3623" w:rsidRPr="000E4922" w:rsidRDefault="00AA3623" w:rsidP="00C83E0B">
            <w:pPr>
              <w:pStyle w:val="ListParagraph"/>
              <w:numPr>
                <w:ilvl w:val="0"/>
                <w:numId w:val="14"/>
              </w:numPr>
              <w:spacing w:after="120" w:line="240" w:lineRule="auto"/>
              <w:contextualSpacing w:val="0"/>
              <w:rPr>
                <w:rFonts w:eastAsia="Times New Roman"/>
                <w:color w:val="1F497D"/>
              </w:rPr>
            </w:pPr>
            <w:proofErr w:type="spellStart"/>
            <w:r w:rsidRPr="000E4922">
              <w:rPr>
                <w:rFonts w:eastAsia="Times New Roman"/>
                <w:color w:val="1F497D"/>
              </w:rPr>
              <w:t>Bpifrance</w:t>
            </w:r>
            <w:proofErr w:type="spellEnd"/>
            <w:r w:rsidRPr="000E4922">
              <w:rPr>
                <w:rFonts w:eastAsia="Times New Roman"/>
                <w:color w:val="1F497D"/>
              </w:rPr>
              <w:t xml:space="preserve"> offers an unsecured loan over 3 to 5 years of EUR 10 000 to 5 million for SMEs, and several dozen million EUR for midcaps, with a significant deferral of repayment</w:t>
            </w:r>
          </w:p>
          <w:p w14:paraId="00DF1693" w14:textId="77777777" w:rsidR="00AA3623" w:rsidRPr="000E4922" w:rsidRDefault="00AA3623" w:rsidP="00C83E0B">
            <w:pPr>
              <w:pStyle w:val="ListParagraph"/>
              <w:numPr>
                <w:ilvl w:val="0"/>
                <w:numId w:val="14"/>
              </w:numPr>
              <w:spacing w:after="120" w:line="240" w:lineRule="auto"/>
              <w:contextualSpacing w:val="0"/>
              <w:rPr>
                <w:rFonts w:eastAsia="Times New Roman"/>
                <w:color w:val="1F497D"/>
              </w:rPr>
            </w:pPr>
            <w:proofErr w:type="spellStart"/>
            <w:r w:rsidRPr="000E4922">
              <w:rPr>
                <w:rFonts w:eastAsia="Times New Roman"/>
                <w:color w:val="1F497D"/>
              </w:rPr>
              <w:t>Bpifrance</w:t>
            </w:r>
            <w:proofErr w:type="spellEnd"/>
            <w:r w:rsidRPr="000E4922">
              <w:rPr>
                <w:rFonts w:eastAsia="Times New Roman"/>
                <w:color w:val="1F497D"/>
              </w:rPr>
              <w:t xml:space="preserve"> mobilises all invoices and adds a credit of 30% of the mobilised volume </w:t>
            </w:r>
          </w:p>
          <w:p w14:paraId="0971B942" w14:textId="77777777" w:rsidR="00AA3623" w:rsidRPr="000E4922" w:rsidRDefault="00AA3623" w:rsidP="00C83E0B">
            <w:pPr>
              <w:pStyle w:val="ListParagraph"/>
              <w:numPr>
                <w:ilvl w:val="0"/>
                <w:numId w:val="14"/>
              </w:numPr>
              <w:spacing w:after="120" w:line="240" w:lineRule="auto"/>
              <w:contextualSpacing w:val="0"/>
              <w:rPr>
                <w:rFonts w:eastAsia="Times New Roman"/>
                <w:color w:val="1F497D"/>
              </w:rPr>
            </w:pPr>
            <w:proofErr w:type="spellStart"/>
            <w:r w:rsidRPr="000E4922">
              <w:rPr>
                <w:rFonts w:eastAsia="Times New Roman"/>
                <w:color w:val="1F497D"/>
              </w:rPr>
              <w:t>Bpifrance</w:t>
            </w:r>
            <w:proofErr w:type="spellEnd"/>
            <w:r w:rsidRPr="000E4922">
              <w:rPr>
                <w:rFonts w:eastAsia="Times New Roman"/>
                <w:color w:val="1F497D"/>
              </w:rPr>
              <w:t xml:space="preserve"> is suspending the payment of granted loan </w:t>
            </w:r>
            <w:proofErr w:type="spellStart"/>
            <w:r w:rsidRPr="000E4922">
              <w:rPr>
                <w:rFonts w:eastAsia="Times New Roman"/>
                <w:color w:val="1F497D"/>
              </w:rPr>
              <w:t>installments</w:t>
            </w:r>
            <w:proofErr w:type="spellEnd"/>
            <w:r w:rsidRPr="000E4922">
              <w:rPr>
                <w:rFonts w:eastAsia="Times New Roman"/>
                <w:color w:val="1F497D"/>
              </w:rPr>
              <w:t xml:space="preserve"> as of March 16</w:t>
            </w:r>
          </w:p>
          <w:p w14:paraId="6ADCC0C3" w14:textId="77777777" w:rsidR="00AA3623" w:rsidRDefault="00AA3623" w:rsidP="00C83E0B">
            <w:pPr>
              <w:pStyle w:val="ListParagraph"/>
              <w:numPr>
                <w:ilvl w:val="0"/>
                <w:numId w:val="14"/>
              </w:numPr>
              <w:spacing w:after="120" w:line="240" w:lineRule="auto"/>
              <w:contextualSpacing w:val="0"/>
              <w:rPr>
                <w:rFonts w:eastAsia="Times New Roman"/>
                <w:color w:val="1F497D"/>
              </w:rPr>
            </w:pPr>
            <w:proofErr w:type="spellStart"/>
            <w:r w:rsidRPr="000E4922">
              <w:rPr>
                <w:rFonts w:eastAsia="Times New Roman"/>
                <w:color w:val="1F497D"/>
              </w:rPr>
              <w:t>Bpifrance</w:t>
            </w:r>
            <w:proofErr w:type="spellEnd"/>
            <w:r w:rsidRPr="000E4922">
              <w:rPr>
                <w:rFonts w:eastAsia="Times New Roman"/>
                <w:color w:val="1F497D"/>
              </w:rPr>
              <w:t xml:space="preserve"> reminds you that you can request the postponement of tax and social security deadlines and ask for tax rebates from the administrations and services concerned</w:t>
            </w:r>
          </w:p>
          <w:p w14:paraId="31DBEF7D" w14:textId="77777777" w:rsidR="00AA3623" w:rsidRPr="00C83E0B" w:rsidRDefault="00AA3623" w:rsidP="000011DF">
            <w:pPr>
              <w:pStyle w:val="ListParagraph"/>
              <w:spacing w:after="0" w:line="240" w:lineRule="auto"/>
              <w:contextualSpacing w:val="0"/>
              <w:rPr>
                <w:rFonts w:eastAsia="Times New Roman"/>
                <w:color w:val="1F497D"/>
                <w:sz w:val="12"/>
                <w:szCs w:val="12"/>
              </w:rPr>
            </w:pPr>
          </w:p>
          <w:p w14:paraId="5D7F6D31" w14:textId="77777777" w:rsidR="00AA3623" w:rsidRPr="000E4922" w:rsidRDefault="00F937DF" w:rsidP="00B05497">
            <w:pPr>
              <w:spacing w:after="120" w:line="240" w:lineRule="auto"/>
              <w:jc w:val="both"/>
              <w:rPr>
                <w:rFonts w:eastAsia="Times New Roman"/>
                <w:color w:val="1F497D"/>
              </w:rPr>
            </w:pPr>
            <w:hyperlink r:id="rId20" w:history="1">
              <w:r w:rsidR="00AA3623" w:rsidRPr="000E4922">
                <w:rPr>
                  <w:rStyle w:val="Hyperlink"/>
                  <w:rFonts w:eastAsia="Times New Roman"/>
                </w:rPr>
                <w:t>https://www.bpifrance.fr/A-la-une/Actualites/Coronavirus-Bpifrance-active-des-mesures-exceptionnelles-de-soutien-aux-entreprises-49113</w:t>
              </w:r>
            </w:hyperlink>
          </w:p>
        </w:tc>
      </w:tr>
      <w:tr w:rsidR="00AA3623" w:rsidRPr="00E62D5E" w14:paraId="42F2F23A" w14:textId="77777777" w:rsidTr="007E0009">
        <w:tc>
          <w:tcPr>
            <w:tcW w:w="2599" w:type="dxa"/>
          </w:tcPr>
          <w:p w14:paraId="44BBF3E8"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t>SIAGI</w:t>
            </w:r>
          </w:p>
          <w:p w14:paraId="7988F24E" w14:textId="77777777" w:rsidR="00AA3623" w:rsidRDefault="00AA3623" w:rsidP="000011DF">
            <w:pPr>
              <w:pStyle w:val="ListParagraph"/>
              <w:spacing w:before="120" w:after="0" w:line="240" w:lineRule="auto"/>
              <w:ind w:left="1080"/>
              <w:jc w:val="both"/>
              <w:rPr>
                <w:rFonts w:cs="Times New Roman"/>
                <w:b/>
                <w:sz w:val="24"/>
                <w:szCs w:val="24"/>
                <w:lang w:val="en-US"/>
              </w:rPr>
            </w:pPr>
            <w:r>
              <w:rPr>
                <w:rFonts w:cs="Times New Roman"/>
                <w:b/>
                <w:sz w:val="24"/>
                <w:szCs w:val="24"/>
                <w:lang w:val="en-US"/>
              </w:rPr>
              <w:t>France</w:t>
            </w:r>
          </w:p>
        </w:tc>
        <w:tc>
          <w:tcPr>
            <w:tcW w:w="8175" w:type="dxa"/>
          </w:tcPr>
          <w:p w14:paraId="15C4912D" w14:textId="77777777" w:rsidR="00AA3623" w:rsidRPr="000E4922" w:rsidRDefault="00AA3623" w:rsidP="00C83E0B">
            <w:pPr>
              <w:spacing w:before="120" w:after="0" w:line="240" w:lineRule="auto"/>
              <w:rPr>
                <w:rFonts w:eastAsia="Times New Roman"/>
                <w:color w:val="1F497D"/>
              </w:rPr>
            </w:pPr>
            <w:r w:rsidRPr="000E4922">
              <w:rPr>
                <w:rFonts w:eastAsia="Times New Roman"/>
                <w:color w:val="1F497D"/>
              </w:rPr>
              <w:t>As a partner of all French banks SIAGI decided to</w:t>
            </w:r>
            <w:r>
              <w:rPr>
                <w:rFonts w:eastAsia="Times New Roman"/>
                <w:color w:val="1F497D"/>
              </w:rPr>
              <w:t>:</w:t>
            </w:r>
          </w:p>
          <w:p w14:paraId="3102221F" w14:textId="77777777" w:rsidR="00AA3623" w:rsidRPr="000E4922" w:rsidRDefault="00AA3623" w:rsidP="00C83E0B">
            <w:pPr>
              <w:pStyle w:val="ListParagraph"/>
              <w:numPr>
                <w:ilvl w:val="0"/>
                <w:numId w:val="14"/>
              </w:numPr>
              <w:spacing w:after="120" w:line="240" w:lineRule="auto"/>
              <w:contextualSpacing w:val="0"/>
              <w:rPr>
                <w:rFonts w:eastAsia="Times New Roman"/>
                <w:color w:val="1F497D"/>
              </w:rPr>
            </w:pPr>
            <w:r w:rsidRPr="000E4922">
              <w:rPr>
                <w:rFonts w:eastAsia="Times New Roman"/>
                <w:color w:val="1F497D"/>
              </w:rPr>
              <w:t xml:space="preserve">guarantee the suspension of all the payments of existing loans (capital + interests) during a 6 month period to be extended if necessary </w:t>
            </w:r>
          </w:p>
          <w:p w14:paraId="39E3D0A2" w14:textId="77777777" w:rsidR="00AA3623" w:rsidRDefault="00AA3623" w:rsidP="00C83E0B">
            <w:pPr>
              <w:pStyle w:val="ListParagraph"/>
              <w:numPr>
                <w:ilvl w:val="0"/>
                <w:numId w:val="14"/>
              </w:numPr>
              <w:spacing w:after="120" w:line="240" w:lineRule="auto"/>
              <w:contextualSpacing w:val="0"/>
              <w:rPr>
                <w:rFonts w:eastAsia="Times New Roman"/>
                <w:color w:val="1F497D"/>
              </w:rPr>
            </w:pPr>
            <w:r w:rsidRPr="000E4922">
              <w:rPr>
                <w:rFonts w:eastAsia="Times New Roman"/>
                <w:color w:val="1F497D"/>
              </w:rPr>
              <w:t>guarantee 2 to 7 year loans granted by banks up to 70%</w:t>
            </w:r>
          </w:p>
          <w:p w14:paraId="73C7BABA" w14:textId="77777777" w:rsidR="00AA3623" w:rsidRPr="00C83E0B" w:rsidRDefault="00AA3623" w:rsidP="000011DF">
            <w:pPr>
              <w:pStyle w:val="ListParagraph"/>
              <w:spacing w:after="0" w:line="240" w:lineRule="auto"/>
              <w:contextualSpacing w:val="0"/>
              <w:rPr>
                <w:rFonts w:eastAsia="Times New Roman"/>
                <w:color w:val="1F497D"/>
                <w:sz w:val="12"/>
                <w:szCs w:val="12"/>
              </w:rPr>
            </w:pPr>
          </w:p>
          <w:p w14:paraId="505376A4" w14:textId="77777777" w:rsidR="00AA3623" w:rsidRPr="00490651" w:rsidRDefault="00AA3623" w:rsidP="000011DF">
            <w:pPr>
              <w:pStyle w:val="PlainText"/>
              <w:jc w:val="both"/>
              <w:rPr>
                <w:rFonts w:ascii="Times New Roman" w:hAnsi="Times New Roman" w:cs="Times New Roman"/>
                <w:color w:val="FF0000"/>
                <w:sz w:val="20"/>
                <w:szCs w:val="20"/>
                <w:lang w:val="de-DE"/>
              </w:rPr>
            </w:pPr>
            <w:r w:rsidRPr="00490651">
              <w:rPr>
                <w:rFonts w:ascii="Times New Roman" w:hAnsi="Times New Roman" w:cs="Times New Roman"/>
                <w:color w:val="FF0000"/>
                <w:sz w:val="20"/>
                <w:szCs w:val="20"/>
                <w:lang w:val="de-DE"/>
              </w:rPr>
              <w:t xml:space="preserve">Michel COTTET </w:t>
            </w:r>
          </w:p>
          <w:p w14:paraId="2CFB6232" w14:textId="77777777" w:rsidR="00AA3623" w:rsidRPr="00490651" w:rsidRDefault="00AA3623" w:rsidP="00B05497">
            <w:pPr>
              <w:pStyle w:val="PlainText"/>
              <w:spacing w:after="120"/>
              <w:jc w:val="both"/>
              <w:rPr>
                <w:lang w:val="de-DE"/>
              </w:rPr>
            </w:pPr>
            <w:r w:rsidRPr="00490651">
              <w:rPr>
                <w:rFonts w:ascii="Times New Roman" w:hAnsi="Times New Roman" w:cs="Times New Roman"/>
                <w:color w:val="FF0000"/>
                <w:sz w:val="20"/>
                <w:szCs w:val="20"/>
                <w:lang w:val="de-DE"/>
              </w:rPr>
              <w:t>mcottet@siagi.fr</w:t>
            </w:r>
          </w:p>
        </w:tc>
      </w:tr>
      <w:tr w:rsidR="00AA3623" w:rsidRPr="00490651" w14:paraId="054847AB" w14:textId="77777777" w:rsidTr="007E0009">
        <w:tc>
          <w:tcPr>
            <w:tcW w:w="2599" w:type="dxa"/>
          </w:tcPr>
          <w:p w14:paraId="7D4381A5" w14:textId="3B1152F5" w:rsidR="00AA3623" w:rsidRDefault="00F5327D" w:rsidP="00AA3623">
            <w:pPr>
              <w:pStyle w:val="ListParagraph"/>
              <w:numPr>
                <w:ilvl w:val="0"/>
                <w:numId w:val="13"/>
              </w:numPr>
              <w:spacing w:before="120" w:after="0" w:line="240" w:lineRule="auto"/>
              <w:jc w:val="both"/>
              <w:rPr>
                <w:rFonts w:cs="Times New Roman"/>
                <w:b/>
                <w:sz w:val="24"/>
                <w:szCs w:val="24"/>
                <w:lang w:val="en-US"/>
              </w:rPr>
            </w:pPr>
            <w:r w:rsidRPr="00E62D5E">
              <w:rPr>
                <w:lang w:val="fr-BE"/>
              </w:rPr>
              <w:br w:type="page"/>
            </w:r>
            <w:r w:rsidR="00AA3623">
              <w:rPr>
                <w:rFonts w:cs="Times New Roman"/>
                <w:b/>
                <w:sz w:val="24"/>
                <w:szCs w:val="24"/>
                <w:lang w:val="en-US"/>
              </w:rPr>
              <w:t>VDB</w:t>
            </w:r>
          </w:p>
          <w:p w14:paraId="21D18A55"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Germany</w:t>
            </w:r>
          </w:p>
        </w:tc>
        <w:tc>
          <w:tcPr>
            <w:tcW w:w="8175" w:type="dxa"/>
          </w:tcPr>
          <w:p w14:paraId="7EB4AE39" w14:textId="77777777" w:rsidR="00AA3623" w:rsidRPr="000E4922" w:rsidRDefault="00AA3623" w:rsidP="00C83E0B">
            <w:pPr>
              <w:spacing w:before="120"/>
              <w:jc w:val="both"/>
              <w:rPr>
                <w:color w:val="44546A" w:themeColor="text2"/>
              </w:rPr>
            </w:pPr>
            <w:r w:rsidRPr="000E4922">
              <w:rPr>
                <w:color w:val="44546A" w:themeColor="text2"/>
              </w:rPr>
              <w:t>On Friday (13.03.2020), the Federal Ministry of Economics and Finance presented measures for the economic management of the "Corona crisis" that had been agreed with the federal states. For the guarantee banks, extensions of the framework conditions for default guarantees are planned.</w:t>
            </w:r>
          </w:p>
          <w:p w14:paraId="748CCE9E" w14:textId="77777777" w:rsidR="00AA3623" w:rsidRPr="000E4922" w:rsidRDefault="00AA3623" w:rsidP="00C83E0B">
            <w:pPr>
              <w:spacing w:before="120"/>
              <w:jc w:val="both"/>
              <w:rPr>
                <w:color w:val="44546A" w:themeColor="text2"/>
              </w:rPr>
            </w:pPr>
            <w:r w:rsidRPr="000E4922">
              <w:rPr>
                <w:color w:val="44546A" w:themeColor="text2"/>
              </w:rPr>
              <w:lastRenderedPageBreak/>
              <w:t>These include:</w:t>
            </w:r>
          </w:p>
          <w:p w14:paraId="58DF84CC" w14:textId="77777777" w:rsidR="00AA3623" w:rsidRPr="000E4922" w:rsidRDefault="00AA3623" w:rsidP="000011DF">
            <w:pPr>
              <w:jc w:val="both"/>
              <w:rPr>
                <w:color w:val="44546A" w:themeColor="text2"/>
              </w:rPr>
            </w:pPr>
            <w:r w:rsidRPr="000E4922">
              <w:rPr>
                <w:color w:val="44546A" w:themeColor="text2"/>
              </w:rPr>
              <w:t>- Increase of the guarantee ceiling to EUR 2.5 million (previously EUR 1.25 million)</w:t>
            </w:r>
          </w:p>
          <w:p w14:paraId="11F67AA0" w14:textId="77777777" w:rsidR="00AA3623" w:rsidRPr="000E4922" w:rsidRDefault="00AA3623" w:rsidP="000011DF">
            <w:pPr>
              <w:jc w:val="both"/>
              <w:rPr>
                <w:color w:val="44546A" w:themeColor="text2"/>
              </w:rPr>
            </w:pPr>
            <w:r w:rsidRPr="000E4922">
              <w:rPr>
                <w:color w:val="44546A" w:themeColor="text2"/>
              </w:rPr>
              <w:t>- higher risk assumption by the Federal Government through an increase in the counter-guarantee</w:t>
            </w:r>
          </w:p>
          <w:p w14:paraId="37CB10E9" w14:textId="77777777" w:rsidR="00AA3623" w:rsidRPr="000E4922" w:rsidRDefault="00AA3623" w:rsidP="000011DF">
            <w:pPr>
              <w:jc w:val="both"/>
              <w:rPr>
                <w:color w:val="44546A" w:themeColor="text2"/>
              </w:rPr>
            </w:pPr>
            <w:r w:rsidRPr="000E4922">
              <w:rPr>
                <w:color w:val="44546A" w:themeColor="text2"/>
              </w:rPr>
              <w:t>- and various measures to speed up decision-making</w:t>
            </w:r>
          </w:p>
          <w:p w14:paraId="04548ABF" w14:textId="77777777" w:rsidR="00AA3623" w:rsidRPr="000E4922" w:rsidRDefault="00AA3623" w:rsidP="000011DF">
            <w:pPr>
              <w:jc w:val="both"/>
              <w:rPr>
                <w:color w:val="44546A" w:themeColor="text2"/>
              </w:rPr>
            </w:pPr>
            <w:r w:rsidRPr="000E4922">
              <w:rPr>
                <w:color w:val="44546A" w:themeColor="text2"/>
              </w:rPr>
              <w:t>The measures support all commercial small and medium-sized enterprises (SMEs) and the liberal professions across all sectors and will be implemented by the guarantee banks as soon as possible.</w:t>
            </w:r>
          </w:p>
          <w:p w14:paraId="3A5B7B88" w14:textId="77777777" w:rsidR="00AA3623" w:rsidRPr="000E4922" w:rsidRDefault="00AA3623" w:rsidP="000011DF">
            <w:pPr>
              <w:jc w:val="both"/>
              <w:rPr>
                <w:color w:val="44546A" w:themeColor="text2"/>
              </w:rPr>
            </w:pPr>
            <w:r w:rsidRPr="000E4922">
              <w:rPr>
                <w:color w:val="44546A" w:themeColor="text2"/>
              </w:rPr>
              <w:t xml:space="preserve">If liquidity assistance, e.g. from </w:t>
            </w:r>
            <w:proofErr w:type="spellStart"/>
            <w:r w:rsidRPr="000E4922">
              <w:rPr>
                <w:color w:val="44546A" w:themeColor="text2"/>
              </w:rPr>
              <w:t>KfW</w:t>
            </w:r>
            <w:proofErr w:type="spellEnd"/>
            <w:r w:rsidRPr="000E4922">
              <w:rPr>
                <w:color w:val="44546A" w:themeColor="text2"/>
              </w:rPr>
              <w:t xml:space="preserve"> or the state development banks, is needed to bridge the "corona crisis", the guarantee banks can provide this in combination with financing from the main bank. The companies and their business models should have been economically viable before the crisis broke out.</w:t>
            </w:r>
          </w:p>
          <w:p w14:paraId="629EE872" w14:textId="77777777" w:rsidR="00AA3623" w:rsidRPr="008C5B62" w:rsidRDefault="00F937DF" w:rsidP="000011DF">
            <w:pPr>
              <w:jc w:val="both"/>
              <w:rPr>
                <w:i/>
                <w:iCs/>
              </w:rPr>
            </w:pPr>
            <w:hyperlink r:id="rId21" w:history="1">
              <w:r w:rsidR="00AA3623" w:rsidRPr="004660D3">
                <w:rPr>
                  <w:rStyle w:val="Hyperlink"/>
                  <w:lang w:val="en-US"/>
                </w:rPr>
                <w:t>https://vdb-info.de/aktuelles/pressemitteilungen/corona-krise-buergschaftsbanken-erweitern-unterstuetzung-von-kmu</w:t>
              </w:r>
            </w:hyperlink>
          </w:p>
        </w:tc>
      </w:tr>
      <w:tr w:rsidR="00AA3623" w:rsidRPr="00490651" w14:paraId="1B25F208" w14:textId="77777777" w:rsidTr="007E0009">
        <w:tc>
          <w:tcPr>
            <w:tcW w:w="2599" w:type="dxa"/>
          </w:tcPr>
          <w:p w14:paraId="40F20DF7"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lastRenderedPageBreak/>
              <w:t xml:space="preserve">SBCI </w:t>
            </w:r>
          </w:p>
          <w:p w14:paraId="210E81F7"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Ireland </w:t>
            </w:r>
          </w:p>
          <w:p w14:paraId="449CB447" w14:textId="77777777" w:rsidR="00AA3623" w:rsidRDefault="00AA3623" w:rsidP="000011DF">
            <w:pPr>
              <w:pStyle w:val="ListParagraph"/>
              <w:spacing w:before="120" w:after="0" w:line="240" w:lineRule="auto"/>
              <w:jc w:val="both"/>
              <w:rPr>
                <w:rFonts w:cs="Times New Roman"/>
                <w:b/>
                <w:sz w:val="24"/>
                <w:szCs w:val="24"/>
                <w:lang w:val="en-US"/>
              </w:rPr>
            </w:pPr>
          </w:p>
        </w:tc>
        <w:tc>
          <w:tcPr>
            <w:tcW w:w="8175" w:type="dxa"/>
          </w:tcPr>
          <w:p w14:paraId="4ABCCF93" w14:textId="77777777" w:rsidR="00AA3623" w:rsidRPr="00B51232" w:rsidRDefault="00AA3623" w:rsidP="00C83E0B">
            <w:pPr>
              <w:spacing w:before="120"/>
              <w:jc w:val="both"/>
            </w:pPr>
            <w:r w:rsidRPr="00804261">
              <w:rPr>
                <w:color w:val="1F497D"/>
              </w:rPr>
              <w:t xml:space="preserve">Please see </w:t>
            </w:r>
            <w:r>
              <w:rPr>
                <w:color w:val="1F497D"/>
              </w:rPr>
              <w:t xml:space="preserve">the </w:t>
            </w:r>
            <w:r w:rsidRPr="00804261">
              <w:rPr>
                <w:color w:val="1F497D"/>
              </w:rPr>
              <w:t xml:space="preserve">link to Government of Ireland press release regarding the use of the Credit Guarantee Scheme (A Government of Ireland scheme administered by the SBCI). </w:t>
            </w:r>
            <w:hyperlink r:id="rId22" w:history="1">
              <w:r w:rsidRPr="00B51232">
                <w:rPr>
                  <w:rStyle w:val="Hyperlink"/>
                </w:rPr>
                <w:t>https://dbei.gov.ie/Djei/en/News-And-Events/Department-News/2020/March/10032020.html</w:t>
              </w:r>
            </w:hyperlink>
          </w:p>
          <w:p w14:paraId="487414B1" w14:textId="77777777" w:rsidR="00AA3623" w:rsidRDefault="00AA3623" w:rsidP="000011DF">
            <w:pPr>
              <w:jc w:val="both"/>
              <w:rPr>
                <w:color w:val="1F497D"/>
              </w:rPr>
            </w:pPr>
            <w:r>
              <w:rPr>
                <w:color w:val="1F497D"/>
              </w:rPr>
              <w:t>SBCI is</w:t>
            </w:r>
            <w:r w:rsidRPr="00804261">
              <w:rPr>
                <w:color w:val="1F497D"/>
              </w:rPr>
              <w:t xml:space="preserve"> also actively looking at other schemes to repurpose if appropriate/possible by adding a “</w:t>
            </w:r>
            <w:proofErr w:type="spellStart"/>
            <w:r w:rsidRPr="00804261">
              <w:rPr>
                <w:color w:val="1F497D"/>
              </w:rPr>
              <w:t>Covid</w:t>
            </w:r>
            <w:proofErr w:type="spellEnd"/>
            <w:r w:rsidRPr="00804261">
              <w:rPr>
                <w:color w:val="1F497D"/>
              </w:rPr>
              <w:t>” eligibility question.</w:t>
            </w:r>
          </w:p>
          <w:p w14:paraId="284A9F6C" w14:textId="77777777" w:rsidR="00AA3623" w:rsidRPr="004660D3" w:rsidRDefault="00AA3623" w:rsidP="000011DF">
            <w:pPr>
              <w:pStyle w:val="PlainText"/>
              <w:jc w:val="both"/>
              <w:rPr>
                <w:rFonts w:ascii="Times New Roman" w:hAnsi="Times New Roman" w:cs="Times New Roman"/>
                <w:color w:val="FF0000"/>
                <w:sz w:val="20"/>
                <w:szCs w:val="20"/>
                <w:lang w:val="en-US"/>
              </w:rPr>
            </w:pPr>
            <w:r w:rsidRPr="004660D3">
              <w:rPr>
                <w:rFonts w:ascii="Times New Roman" w:hAnsi="Times New Roman" w:cs="Times New Roman"/>
                <w:color w:val="FF0000"/>
                <w:sz w:val="20"/>
                <w:szCs w:val="20"/>
                <w:lang w:val="en-US"/>
              </w:rPr>
              <w:t>Brian Colgan</w:t>
            </w:r>
          </w:p>
          <w:p w14:paraId="51D2B2E6" w14:textId="77777777" w:rsidR="00AA3623" w:rsidRPr="00804261" w:rsidRDefault="00F937DF" w:rsidP="00B05497">
            <w:pPr>
              <w:pStyle w:val="PlainText"/>
              <w:spacing w:after="120"/>
              <w:jc w:val="both"/>
              <w:rPr>
                <w:lang w:val="en-GB"/>
              </w:rPr>
            </w:pPr>
            <w:hyperlink r:id="rId23" w:history="1">
              <w:r w:rsidR="00AA3623" w:rsidRPr="004660D3">
                <w:rPr>
                  <w:rFonts w:ascii="Times New Roman" w:hAnsi="Times New Roman" w:cs="Times New Roman"/>
                  <w:color w:val="FF0000"/>
                  <w:sz w:val="20"/>
                  <w:szCs w:val="20"/>
                  <w:lang w:val="en-US"/>
                </w:rPr>
                <w:t>Brian.Colgan@sbci.gov.ie</w:t>
              </w:r>
            </w:hyperlink>
          </w:p>
        </w:tc>
      </w:tr>
      <w:tr w:rsidR="00AA3623" w:rsidRPr="00490651" w14:paraId="6D130607" w14:textId="77777777" w:rsidTr="007E0009">
        <w:tc>
          <w:tcPr>
            <w:tcW w:w="2599" w:type="dxa"/>
          </w:tcPr>
          <w:p w14:paraId="19C2D388"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proofErr w:type="spellStart"/>
            <w:r>
              <w:rPr>
                <w:rFonts w:cs="Times New Roman"/>
                <w:b/>
                <w:sz w:val="24"/>
                <w:szCs w:val="24"/>
                <w:lang w:val="en-US"/>
              </w:rPr>
              <w:t>Assoconfidi</w:t>
            </w:r>
            <w:proofErr w:type="spellEnd"/>
          </w:p>
          <w:p w14:paraId="6239CBD7" w14:textId="77777777" w:rsidR="00AA3623" w:rsidRDefault="00AA3623" w:rsidP="000011DF">
            <w:pPr>
              <w:pStyle w:val="ListParagraph"/>
              <w:spacing w:before="120" w:after="0" w:line="240" w:lineRule="auto"/>
              <w:ind w:left="1080"/>
              <w:jc w:val="both"/>
              <w:rPr>
                <w:rFonts w:cs="Times New Roman"/>
                <w:b/>
                <w:sz w:val="24"/>
                <w:szCs w:val="24"/>
                <w:lang w:val="en-US"/>
              </w:rPr>
            </w:pPr>
            <w:r>
              <w:rPr>
                <w:rFonts w:cs="Times New Roman"/>
                <w:b/>
                <w:sz w:val="24"/>
                <w:szCs w:val="24"/>
                <w:lang w:val="en-US"/>
              </w:rPr>
              <w:t>Italy</w:t>
            </w:r>
          </w:p>
        </w:tc>
        <w:tc>
          <w:tcPr>
            <w:tcW w:w="8175" w:type="dxa"/>
          </w:tcPr>
          <w:p w14:paraId="5E4DE33A" w14:textId="77777777" w:rsidR="00AA3623" w:rsidRPr="00804261" w:rsidRDefault="00AA3623" w:rsidP="00C83E0B">
            <w:pPr>
              <w:spacing w:before="120"/>
              <w:jc w:val="both"/>
              <w:rPr>
                <w:color w:val="1F497D"/>
              </w:rPr>
            </w:pPr>
            <w:proofErr w:type="spellStart"/>
            <w:r>
              <w:rPr>
                <w:color w:val="1F497D"/>
              </w:rPr>
              <w:t>Assoconfidi</w:t>
            </w:r>
            <w:proofErr w:type="spellEnd"/>
            <w:r>
              <w:rPr>
                <w:color w:val="1F497D"/>
              </w:rPr>
              <w:t xml:space="preserve"> searches for possibilities to increase the maximum amount of the </w:t>
            </w:r>
            <w:r w:rsidRPr="009D4D76">
              <w:rPr>
                <w:i/>
                <w:iCs/>
                <w:color w:val="1F497D"/>
              </w:rPr>
              <w:t>de</w:t>
            </w:r>
            <w:r>
              <w:rPr>
                <w:color w:val="1F497D"/>
              </w:rPr>
              <w:t xml:space="preserve"> </w:t>
            </w:r>
            <w:r w:rsidRPr="009D4D76">
              <w:rPr>
                <w:i/>
                <w:iCs/>
                <w:color w:val="1F497D"/>
              </w:rPr>
              <w:t>minimis</w:t>
            </w:r>
            <w:r>
              <w:rPr>
                <w:color w:val="1F497D"/>
              </w:rPr>
              <w:t xml:space="preserve"> guarantee to 100 % of the loan. </w:t>
            </w:r>
          </w:p>
        </w:tc>
      </w:tr>
      <w:tr w:rsidR="007E0009" w:rsidRPr="00F5327D" w14:paraId="4D2CBE1D" w14:textId="77777777" w:rsidTr="007E0009">
        <w:tc>
          <w:tcPr>
            <w:tcW w:w="2599" w:type="dxa"/>
          </w:tcPr>
          <w:p w14:paraId="66C6F311" w14:textId="77777777" w:rsidR="007E0009" w:rsidRDefault="007E0009" w:rsidP="00AA3623">
            <w:pPr>
              <w:pStyle w:val="ListParagraph"/>
              <w:numPr>
                <w:ilvl w:val="0"/>
                <w:numId w:val="13"/>
              </w:numPr>
              <w:spacing w:before="120" w:after="0" w:line="240" w:lineRule="auto"/>
              <w:jc w:val="both"/>
              <w:rPr>
                <w:rFonts w:cs="Times New Roman"/>
                <w:b/>
                <w:sz w:val="24"/>
                <w:szCs w:val="24"/>
                <w:lang w:val="en-US"/>
              </w:rPr>
            </w:pPr>
            <w:proofErr w:type="spellStart"/>
            <w:r>
              <w:rPr>
                <w:rFonts w:cs="Times New Roman"/>
                <w:b/>
                <w:sz w:val="24"/>
                <w:szCs w:val="24"/>
                <w:lang w:val="en-US"/>
              </w:rPr>
              <w:t>Altum</w:t>
            </w:r>
            <w:proofErr w:type="spellEnd"/>
          </w:p>
          <w:p w14:paraId="1D50C7C2" w14:textId="6010BE18" w:rsidR="007E0009" w:rsidRDefault="007E0009" w:rsidP="007E0009">
            <w:pPr>
              <w:pStyle w:val="ListParagraph"/>
              <w:spacing w:before="120" w:after="0" w:line="240" w:lineRule="auto"/>
              <w:ind w:left="1080"/>
              <w:jc w:val="both"/>
              <w:rPr>
                <w:rFonts w:cs="Times New Roman"/>
                <w:b/>
                <w:sz w:val="24"/>
                <w:szCs w:val="24"/>
                <w:lang w:val="en-US"/>
              </w:rPr>
            </w:pPr>
            <w:r>
              <w:rPr>
                <w:rFonts w:cs="Times New Roman"/>
                <w:b/>
                <w:sz w:val="24"/>
                <w:szCs w:val="24"/>
                <w:lang w:val="en-US"/>
              </w:rPr>
              <w:t>Latvia</w:t>
            </w:r>
          </w:p>
        </w:tc>
        <w:tc>
          <w:tcPr>
            <w:tcW w:w="8175" w:type="dxa"/>
          </w:tcPr>
          <w:p w14:paraId="28F7FD7D" w14:textId="29519273" w:rsidR="007E0009" w:rsidRPr="007E0009" w:rsidRDefault="007E0009" w:rsidP="00C83E0B">
            <w:pPr>
              <w:spacing w:before="120"/>
              <w:jc w:val="both"/>
              <w:rPr>
                <w:rFonts w:cstheme="minorHAnsi"/>
                <w:color w:val="44546A" w:themeColor="text2"/>
              </w:rPr>
            </w:pPr>
            <w:r w:rsidRPr="007E0009">
              <w:rPr>
                <w:rFonts w:cstheme="minorHAnsi"/>
                <w:color w:val="44546A" w:themeColor="text2"/>
              </w:rPr>
              <w:t>ALTUM has developed 2 measures for companies that have been affected by the</w:t>
            </w:r>
            <w:r>
              <w:rPr>
                <w:rFonts w:cstheme="minorHAnsi"/>
                <w:color w:val="44546A" w:themeColor="text2"/>
              </w:rPr>
              <w:t xml:space="preserve"> </w:t>
            </w:r>
            <w:r w:rsidRPr="007E0009">
              <w:rPr>
                <w:rFonts w:cstheme="minorHAnsi"/>
                <w:color w:val="44546A" w:themeColor="text2"/>
              </w:rPr>
              <w:t xml:space="preserve">COVID-19 spread and are facing financial problems. Both measures are developed in accordance to </w:t>
            </w:r>
            <w:r w:rsidRPr="007E0009">
              <w:rPr>
                <w:rFonts w:cstheme="minorHAnsi"/>
                <w:i/>
                <w:color w:val="44546A" w:themeColor="text2"/>
              </w:rPr>
              <w:t>Temporary Framework to support the economy in the context of the COVID-19 outbreak</w:t>
            </w:r>
            <w:r w:rsidRPr="007E0009">
              <w:rPr>
                <w:rFonts w:cstheme="minorHAnsi"/>
                <w:color w:val="44546A" w:themeColor="text2"/>
              </w:rPr>
              <w:t>. At the moment ALTUM is close communication with EC about implementing the Framework within the measures.</w:t>
            </w:r>
            <w:r w:rsidR="00717925">
              <w:rPr>
                <w:rFonts w:cstheme="minorHAnsi"/>
                <w:color w:val="44546A" w:themeColor="text2"/>
              </w:rPr>
              <w:t xml:space="preserve"> </w:t>
            </w:r>
            <w:r w:rsidRPr="007E0009">
              <w:rPr>
                <w:rFonts w:cstheme="minorHAnsi"/>
                <w:color w:val="44546A" w:themeColor="text2"/>
              </w:rPr>
              <w:t>Support cannot be granted to companies that are in financial difficulty on  31.12.2019.</w:t>
            </w:r>
            <w:r w:rsidR="00717925">
              <w:rPr>
                <w:rFonts w:cstheme="minorHAnsi"/>
                <w:color w:val="44546A" w:themeColor="text2"/>
              </w:rPr>
              <w:t xml:space="preserve"> </w:t>
            </w:r>
            <w:r w:rsidRPr="007E0009">
              <w:rPr>
                <w:rFonts w:cstheme="minorHAnsi"/>
                <w:color w:val="44546A" w:themeColor="text2"/>
              </w:rPr>
              <w:t xml:space="preserve">Measures have been approved by the government on 19.03.2020. </w:t>
            </w:r>
          </w:p>
          <w:p w14:paraId="25385C72" w14:textId="77777777" w:rsidR="007E0009" w:rsidRPr="007E0009" w:rsidRDefault="007E0009" w:rsidP="007E0009">
            <w:pPr>
              <w:pStyle w:val="ListParagraph"/>
              <w:numPr>
                <w:ilvl w:val="0"/>
                <w:numId w:val="21"/>
              </w:numPr>
              <w:ind w:left="0" w:right="150"/>
              <w:jc w:val="both"/>
              <w:rPr>
                <w:rFonts w:cstheme="minorHAnsi"/>
                <w:color w:val="44546A" w:themeColor="text2"/>
                <w:u w:val="single"/>
              </w:rPr>
            </w:pPr>
            <w:r w:rsidRPr="007E0009">
              <w:rPr>
                <w:rFonts w:cstheme="minorHAnsi"/>
                <w:color w:val="44546A" w:themeColor="text2"/>
                <w:u w:val="single"/>
              </w:rPr>
              <w:t>INDIVIDUAL GUARANTEES:</w:t>
            </w:r>
          </w:p>
          <w:p w14:paraId="7E3F539B" w14:textId="77777777" w:rsidR="007E0009" w:rsidRPr="007E0009" w:rsidRDefault="007E0009" w:rsidP="007E0009">
            <w:pPr>
              <w:pStyle w:val="ListParagraph"/>
              <w:numPr>
                <w:ilvl w:val="0"/>
                <w:numId w:val="23"/>
              </w:numPr>
              <w:ind w:left="284" w:right="150"/>
              <w:jc w:val="both"/>
              <w:rPr>
                <w:rFonts w:cstheme="minorHAnsi"/>
                <w:color w:val="44546A" w:themeColor="text2"/>
              </w:rPr>
            </w:pPr>
            <w:r w:rsidRPr="007E0009">
              <w:rPr>
                <w:rFonts w:cstheme="minorHAnsi"/>
                <w:color w:val="44546A" w:themeColor="text2"/>
              </w:rPr>
              <w:t>Amount of public funding - 50 MEUR</w:t>
            </w:r>
          </w:p>
          <w:p w14:paraId="5E776B7A" w14:textId="77777777" w:rsidR="007E0009" w:rsidRPr="007E0009" w:rsidRDefault="007E0009" w:rsidP="007E0009">
            <w:pPr>
              <w:pStyle w:val="ListParagraph"/>
              <w:numPr>
                <w:ilvl w:val="0"/>
                <w:numId w:val="23"/>
              </w:numPr>
              <w:ind w:left="284" w:right="150"/>
              <w:jc w:val="both"/>
              <w:rPr>
                <w:rFonts w:cstheme="minorHAnsi"/>
                <w:color w:val="44546A" w:themeColor="text2"/>
              </w:rPr>
            </w:pPr>
            <w:r w:rsidRPr="007E0009">
              <w:rPr>
                <w:rFonts w:cstheme="minorHAnsi"/>
                <w:color w:val="44546A" w:themeColor="text2"/>
              </w:rPr>
              <w:t>Amount of financial services covered by the guarantee - 715 MEUR.</w:t>
            </w:r>
          </w:p>
          <w:p w14:paraId="2662FF10" w14:textId="77777777" w:rsidR="007E0009" w:rsidRPr="007E0009" w:rsidRDefault="007E0009" w:rsidP="007E0009">
            <w:pPr>
              <w:pStyle w:val="ListParagraph"/>
              <w:numPr>
                <w:ilvl w:val="0"/>
                <w:numId w:val="23"/>
              </w:numPr>
              <w:ind w:left="284" w:right="150"/>
              <w:jc w:val="both"/>
              <w:rPr>
                <w:rFonts w:cstheme="minorHAnsi"/>
                <w:color w:val="44546A" w:themeColor="text2"/>
              </w:rPr>
            </w:pPr>
            <w:r w:rsidRPr="007E0009">
              <w:rPr>
                <w:rFonts w:cstheme="minorHAnsi"/>
                <w:color w:val="44546A" w:themeColor="text2"/>
              </w:rPr>
              <w:t>Planned guarantee portfolio - 240 MEUR.</w:t>
            </w:r>
          </w:p>
          <w:p w14:paraId="737683B8" w14:textId="05C9351C" w:rsidR="007E0009" w:rsidRPr="007E0009" w:rsidRDefault="007E0009" w:rsidP="00F5327D">
            <w:pPr>
              <w:spacing w:after="0"/>
              <w:ind w:right="144"/>
              <w:jc w:val="both"/>
              <w:rPr>
                <w:rFonts w:cstheme="minorHAnsi"/>
                <w:color w:val="44546A" w:themeColor="text2"/>
              </w:rPr>
            </w:pPr>
            <w:r w:rsidRPr="007E0009">
              <w:rPr>
                <w:rFonts w:cstheme="minorHAnsi"/>
                <w:color w:val="44546A" w:themeColor="text2"/>
              </w:rPr>
              <w:t>PURPOSE</w:t>
            </w:r>
            <w:r>
              <w:rPr>
                <w:rFonts w:cstheme="minorHAnsi"/>
                <w:color w:val="44546A" w:themeColor="text2"/>
              </w:rPr>
              <w:t xml:space="preserve">: </w:t>
            </w:r>
            <w:r w:rsidRPr="007E0009">
              <w:rPr>
                <w:rFonts w:cstheme="minorHAnsi"/>
                <w:color w:val="44546A" w:themeColor="text2"/>
              </w:rPr>
              <w:t>For economic operator that is economically viable and the credit institution has concluded that liquidity support is required as a result of the impact of COVID-19.</w:t>
            </w:r>
          </w:p>
          <w:p w14:paraId="638CD2A8" w14:textId="02230F30" w:rsidR="007E0009" w:rsidRPr="007E0009" w:rsidRDefault="007E0009" w:rsidP="00F5327D">
            <w:pPr>
              <w:spacing w:before="120" w:after="120"/>
              <w:ind w:right="144"/>
              <w:jc w:val="both"/>
              <w:rPr>
                <w:rFonts w:cstheme="minorHAnsi"/>
                <w:color w:val="44546A" w:themeColor="text2"/>
              </w:rPr>
            </w:pPr>
            <w:r w:rsidRPr="007E0009">
              <w:rPr>
                <w:rFonts w:cstheme="minorHAnsi"/>
                <w:color w:val="44546A" w:themeColor="text2"/>
              </w:rPr>
              <w:t>TARGET GROUP</w:t>
            </w:r>
            <w:r>
              <w:rPr>
                <w:rFonts w:cstheme="minorHAnsi"/>
                <w:color w:val="44546A" w:themeColor="text2"/>
              </w:rPr>
              <w:t xml:space="preserve">: </w:t>
            </w:r>
            <w:r w:rsidRPr="007E0009">
              <w:rPr>
                <w:rFonts w:cstheme="minorHAnsi"/>
                <w:color w:val="44546A" w:themeColor="text2"/>
              </w:rPr>
              <w:t>SMEs, large companies, agriculture and fisheries. All amoral sectors are excluded</w:t>
            </w:r>
          </w:p>
          <w:p w14:paraId="2C7A50CC" w14:textId="26A6B9D4" w:rsidR="007E0009" w:rsidRPr="007E0009" w:rsidRDefault="007E0009" w:rsidP="007E0009">
            <w:pPr>
              <w:spacing w:after="0"/>
              <w:ind w:right="150"/>
              <w:jc w:val="both"/>
              <w:rPr>
                <w:rFonts w:cstheme="minorHAnsi"/>
                <w:color w:val="44546A" w:themeColor="text2"/>
              </w:rPr>
            </w:pPr>
            <w:r w:rsidRPr="007E0009">
              <w:rPr>
                <w:rFonts w:cstheme="minorHAnsi"/>
                <w:color w:val="44546A" w:themeColor="text2"/>
              </w:rPr>
              <w:t>CONDITIONS</w:t>
            </w:r>
            <w:r>
              <w:rPr>
                <w:rFonts w:cstheme="minorHAnsi"/>
                <w:color w:val="44546A" w:themeColor="text2"/>
              </w:rPr>
              <w:t xml:space="preserve">: </w:t>
            </w:r>
          </w:p>
          <w:p w14:paraId="6B7A6CD0" w14:textId="77777777" w:rsidR="007E0009" w:rsidRPr="007E0009" w:rsidRDefault="007E0009" w:rsidP="007E0009">
            <w:pPr>
              <w:pStyle w:val="ListParagraph"/>
              <w:numPr>
                <w:ilvl w:val="0"/>
                <w:numId w:val="18"/>
              </w:numPr>
              <w:ind w:left="169" w:right="150" w:hanging="218"/>
              <w:jc w:val="both"/>
              <w:rPr>
                <w:rFonts w:cstheme="minorHAnsi"/>
                <w:color w:val="44546A" w:themeColor="text2"/>
              </w:rPr>
            </w:pPr>
            <w:r w:rsidRPr="007E0009">
              <w:rPr>
                <w:rFonts w:cstheme="minorHAnsi"/>
                <w:color w:val="44546A" w:themeColor="text2"/>
              </w:rPr>
              <w:t>Guarantee covers up to 50%.</w:t>
            </w:r>
          </w:p>
          <w:p w14:paraId="52AD4512" w14:textId="77777777" w:rsidR="007E0009" w:rsidRPr="007E0009" w:rsidRDefault="007E0009" w:rsidP="007E0009">
            <w:pPr>
              <w:pStyle w:val="ListParagraph"/>
              <w:numPr>
                <w:ilvl w:val="0"/>
                <w:numId w:val="18"/>
              </w:numPr>
              <w:ind w:left="169" w:right="150" w:hanging="218"/>
              <w:jc w:val="both"/>
              <w:rPr>
                <w:rFonts w:cstheme="minorHAnsi"/>
                <w:color w:val="44546A" w:themeColor="text2"/>
              </w:rPr>
            </w:pPr>
            <w:r w:rsidRPr="007E0009">
              <w:rPr>
                <w:rFonts w:cstheme="minorHAnsi"/>
                <w:color w:val="44546A" w:themeColor="text2"/>
              </w:rPr>
              <w:t>Max. amount for one beneficiary – 5 MEUR.</w:t>
            </w:r>
          </w:p>
          <w:p w14:paraId="5C3FB7C0" w14:textId="77777777" w:rsidR="007E0009" w:rsidRPr="007E0009" w:rsidRDefault="007E0009" w:rsidP="007E0009">
            <w:pPr>
              <w:pStyle w:val="ListParagraph"/>
              <w:numPr>
                <w:ilvl w:val="0"/>
                <w:numId w:val="18"/>
              </w:numPr>
              <w:spacing w:after="0"/>
              <w:ind w:left="169" w:right="150" w:hanging="218"/>
              <w:jc w:val="both"/>
              <w:rPr>
                <w:rFonts w:cstheme="minorHAnsi"/>
                <w:color w:val="44546A" w:themeColor="text2"/>
              </w:rPr>
            </w:pPr>
            <w:r w:rsidRPr="007E0009">
              <w:rPr>
                <w:rFonts w:cstheme="minorHAnsi"/>
                <w:color w:val="44546A" w:themeColor="text2"/>
              </w:rPr>
              <w:t>Max. term – 2 years.</w:t>
            </w:r>
          </w:p>
          <w:p w14:paraId="13793664" w14:textId="77777777" w:rsidR="007E0009" w:rsidRPr="007E0009" w:rsidRDefault="007E0009" w:rsidP="007E0009">
            <w:pPr>
              <w:pStyle w:val="tv213"/>
              <w:numPr>
                <w:ilvl w:val="0"/>
                <w:numId w:val="18"/>
              </w:numPr>
              <w:shd w:val="clear" w:color="auto" w:fill="FFFFFF"/>
              <w:spacing w:before="0" w:after="160"/>
              <w:ind w:left="169" w:right="150" w:hanging="218"/>
              <w:contextualSpacing/>
              <w:rPr>
                <w:rFonts w:asciiTheme="minorHAnsi" w:hAnsiTheme="minorHAnsi" w:cstheme="minorHAnsi"/>
                <w:color w:val="44546A" w:themeColor="text2"/>
                <w:szCs w:val="22"/>
                <w:lang w:val="en-GB"/>
              </w:rPr>
            </w:pPr>
            <w:r w:rsidRPr="007E0009">
              <w:rPr>
                <w:rFonts w:asciiTheme="minorHAnsi" w:hAnsiTheme="minorHAnsi" w:cstheme="minorHAnsi"/>
                <w:color w:val="44546A" w:themeColor="text2"/>
                <w:szCs w:val="22"/>
                <w:lang w:val="en-GB"/>
              </w:rPr>
              <w:lastRenderedPageBreak/>
              <w:t>It can be provided for:</w:t>
            </w:r>
          </w:p>
          <w:p w14:paraId="2C28548D" w14:textId="77777777" w:rsidR="007E0009" w:rsidRPr="007E0009" w:rsidRDefault="007E0009" w:rsidP="007E0009">
            <w:pPr>
              <w:pStyle w:val="tv213"/>
              <w:numPr>
                <w:ilvl w:val="0"/>
                <w:numId w:val="19"/>
              </w:numPr>
              <w:shd w:val="clear" w:color="auto" w:fill="FFFFFF"/>
              <w:spacing w:before="0" w:after="160"/>
              <w:ind w:left="454" w:right="150"/>
              <w:contextualSpacing/>
              <w:rPr>
                <w:rFonts w:asciiTheme="minorHAnsi" w:hAnsiTheme="minorHAnsi" w:cstheme="minorHAnsi"/>
                <w:color w:val="44546A" w:themeColor="text2"/>
                <w:szCs w:val="22"/>
                <w:lang w:val="en-GB"/>
              </w:rPr>
            </w:pPr>
            <w:r w:rsidRPr="007E0009">
              <w:rPr>
                <w:rFonts w:asciiTheme="minorHAnsi" w:hAnsiTheme="minorHAnsi" w:cstheme="minorHAnsi"/>
                <w:color w:val="44546A" w:themeColor="text2"/>
                <w:szCs w:val="22"/>
                <w:lang w:val="en-GB"/>
              </w:rPr>
              <w:t>new financial services</w:t>
            </w:r>
            <w:bookmarkStart w:id="0" w:name="_Hlk35366442"/>
            <w:r w:rsidRPr="007E0009">
              <w:rPr>
                <w:rFonts w:asciiTheme="minorHAnsi" w:hAnsiTheme="minorHAnsi" w:cstheme="minorHAnsi"/>
                <w:color w:val="44546A" w:themeColor="text2"/>
                <w:szCs w:val="22"/>
                <w:lang w:val="en-GB"/>
              </w:rPr>
              <w:t xml:space="preserve"> for working capital loans;</w:t>
            </w:r>
          </w:p>
          <w:p w14:paraId="22405DDF" w14:textId="77777777" w:rsidR="007E0009" w:rsidRPr="007E0009" w:rsidRDefault="007E0009" w:rsidP="007E0009">
            <w:pPr>
              <w:pStyle w:val="tv213"/>
              <w:numPr>
                <w:ilvl w:val="0"/>
                <w:numId w:val="19"/>
              </w:numPr>
              <w:shd w:val="clear" w:color="auto" w:fill="FFFFFF"/>
              <w:spacing w:before="0" w:after="160"/>
              <w:ind w:left="454" w:right="150"/>
              <w:contextualSpacing/>
              <w:rPr>
                <w:rFonts w:asciiTheme="minorHAnsi" w:hAnsiTheme="minorHAnsi" w:cstheme="minorHAnsi"/>
                <w:color w:val="44546A" w:themeColor="text2"/>
                <w:szCs w:val="22"/>
                <w:lang w:val="en-GB"/>
              </w:rPr>
            </w:pPr>
            <w:r w:rsidRPr="007E0009">
              <w:rPr>
                <w:rFonts w:asciiTheme="minorHAnsi" w:hAnsiTheme="minorHAnsi" w:cstheme="minorHAnsi"/>
                <w:color w:val="44546A" w:themeColor="text2"/>
                <w:szCs w:val="22"/>
                <w:lang w:val="en-GB"/>
              </w:rPr>
              <w:t>for existing investment loans and finance lease;</w:t>
            </w:r>
          </w:p>
          <w:p w14:paraId="1A5DF3C7" w14:textId="77777777" w:rsidR="007E0009" w:rsidRPr="007E0009" w:rsidRDefault="007E0009" w:rsidP="007E0009">
            <w:pPr>
              <w:pStyle w:val="tv213"/>
              <w:numPr>
                <w:ilvl w:val="0"/>
                <w:numId w:val="19"/>
              </w:numPr>
              <w:shd w:val="clear" w:color="auto" w:fill="FFFFFF"/>
              <w:spacing w:before="0" w:after="160"/>
              <w:ind w:left="454" w:right="150"/>
              <w:contextualSpacing/>
              <w:rPr>
                <w:rFonts w:asciiTheme="minorHAnsi" w:hAnsiTheme="minorHAnsi" w:cstheme="minorHAnsi"/>
                <w:color w:val="44546A" w:themeColor="text2"/>
                <w:szCs w:val="22"/>
                <w:lang w:val="en-GB"/>
              </w:rPr>
            </w:pPr>
            <w:r w:rsidRPr="007E0009">
              <w:rPr>
                <w:rFonts w:asciiTheme="minorHAnsi" w:hAnsiTheme="minorHAnsi" w:cstheme="minorHAnsi"/>
                <w:color w:val="44546A" w:themeColor="text2"/>
                <w:szCs w:val="22"/>
                <w:lang w:val="en-GB"/>
              </w:rPr>
              <w:t>credit holidays for investment loans and finance lease up to 2 years;</w:t>
            </w:r>
          </w:p>
          <w:bookmarkEnd w:id="0"/>
          <w:p w14:paraId="215DE2E0" w14:textId="77777777" w:rsidR="007E0009" w:rsidRPr="007E0009" w:rsidRDefault="007E0009" w:rsidP="007E0009">
            <w:pPr>
              <w:pStyle w:val="tv213"/>
              <w:numPr>
                <w:ilvl w:val="0"/>
                <w:numId w:val="20"/>
              </w:numPr>
              <w:shd w:val="clear" w:color="auto" w:fill="FFFFFF"/>
              <w:spacing w:before="0" w:after="160"/>
              <w:ind w:left="313" w:right="150" w:hanging="284"/>
              <w:contextualSpacing/>
              <w:rPr>
                <w:rFonts w:asciiTheme="minorHAnsi" w:hAnsiTheme="minorHAnsi" w:cstheme="minorHAnsi"/>
                <w:color w:val="44546A" w:themeColor="text2"/>
                <w:szCs w:val="22"/>
                <w:lang w:val="en-US"/>
              </w:rPr>
            </w:pPr>
            <w:r w:rsidRPr="007E0009">
              <w:rPr>
                <w:rFonts w:asciiTheme="minorHAnsi" w:hAnsiTheme="minorHAnsi" w:cstheme="minorHAnsi"/>
                <w:color w:val="44546A" w:themeColor="text2"/>
                <w:szCs w:val="22"/>
                <w:lang w:val="en-US"/>
              </w:rPr>
              <w:t>Guarantee fee:</w:t>
            </w:r>
          </w:p>
          <w:p w14:paraId="29D56D17" w14:textId="22A8432B" w:rsidR="007E0009" w:rsidRDefault="007E0009" w:rsidP="00717925">
            <w:pPr>
              <w:pStyle w:val="tv213"/>
              <w:shd w:val="clear" w:color="auto" w:fill="FFFFFF"/>
              <w:spacing w:before="0" w:after="120"/>
              <w:ind w:left="317" w:right="144" w:firstLine="0"/>
              <w:contextualSpacing/>
              <w:rPr>
                <w:rFonts w:asciiTheme="minorHAnsi" w:hAnsiTheme="minorHAnsi" w:cstheme="minorHAnsi"/>
                <w:i/>
                <w:iCs/>
                <w:color w:val="44546A" w:themeColor="text2"/>
                <w:szCs w:val="22"/>
                <w:lang w:val="en-US"/>
              </w:rPr>
            </w:pPr>
            <w:r w:rsidRPr="007E0009">
              <w:rPr>
                <w:rFonts w:asciiTheme="minorHAnsi" w:hAnsiTheme="minorHAnsi" w:cstheme="minorHAnsi"/>
                <w:color w:val="44546A" w:themeColor="text2"/>
                <w:szCs w:val="22"/>
                <w:lang w:val="en-US"/>
              </w:rPr>
              <w:t xml:space="preserve">50% reduce for SMEs, 15% reduce for large companies according to safe harbor premiums mentioned in </w:t>
            </w:r>
            <w:r w:rsidRPr="007E0009">
              <w:rPr>
                <w:rFonts w:asciiTheme="minorHAnsi" w:hAnsiTheme="minorHAnsi" w:cstheme="minorHAnsi"/>
                <w:i/>
                <w:iCs/>
                <w:color w:val="44546A" w:themeColor="text2"/>
                <w:szCs w:val="22"/>
                <w:lang w:val="en-US"/>
              </w:rPr>
              <w:t>Temporary Framework to support the economy in the context of the COVID-19 outbreak.</w:t>
            </w:r>
          </w:p>
          <w:p w14:paraId="7844C1BE" w14:textId="77777777" w:rsidR="00F5327D" w:rsidRPr="00C83E0B" w:rsidRDefault="00F5327D" w:rsidP="00717925">
            <w:pPr>
              <w:pStyle w:val="tv213"/>
              <w:shd w:val="clear" w:color="auto" w:fill="FFFFFF"/>
              <w:spacing w:before="120"/>
              <w:ind w:right="144" w:firstLine="0"/>
              <w:contextualSpacing/>
              <w:rPr>
                <w:rFonts w:asciiTheme="minorHAnsi" w:hAnsiTheme="minorHAnsi" w:cstheme="minorHAnsi"/>
                <w:color w:val="44546A" w:themeColor="text2"/>
                <w:sz w:val="16"/>
                <w:szCs w:val="16"/>
              </w:rPr>
            </w:pPr>
          </w:p>
          <w:p w14:paraId="31C3EC76" w14:textId="3752A305" w:rsidR="007E0009" w:rsidRPr="007E0009" w:rsidRDefault="007E0009" w:rsidP="00717925">
            <w:pPr>
              <w:pStyle w:val="tv213"/>
              <w:shd w:val="clear" w:color="auto" w:fill="FFFFFF"/>
              <w:spacing w:before="120"/>
              <w:ind w:right="144" w:firstLine="0"/>
              <w:contextualSpacing/>
              <w:rPr>
                <w:rFonts w:asciiTheme="minorHAnsi" w:hAnsiTheme="minorHAnsi" w:cstheme="minorHAnsi"/>
                <w:color w:val="44546A" w:themeColor="text2"/>
                <w:szCs w:val="22"/>
                <w:lang w:val="en-US"/>
              </w:rPr>
            </w:pPr>
            <w:r w:rsidRPr="007E0009">
              <w:rPr>
                <w:rFonts w:asciiTheme="minorHAnsi" w:hAnsiTheme="minorHAnsi" w:cstheme="minorHAnsi"/>
                <w:color w:val="44546A" w:themeColor="text2"/>
                <w:szCs w:val="22"/>
              </w:rPr>
              <w:t>OTHER CONDITIONS</w:t>
            </w:r>
            <w:r>
              <w:rPr>
                <w:rFonts w:asciiTheme="minorHAnsi" w:hAnsiTheme="minorHAnsi" w:cstheme="minorHAnsi"/>
                <w:color w:val="44546A" w:themeColor="text2"/>
                <w:szCs w:val="22"/>
              </w:rPr>
              <w:t xml:space="preserve">: </w:t>
            </w:r>
            <w:r w:rsidRPr="007E0009">
              <w:rPr>
                <w:rFonts w:asciiTheme="minorHAnsi" w:hAnsiTheme="minorHAnsi" w:cstheme="minorHAnsi"/>
                <w:color w:val="44546A" w:themeColor="text2"/>
                <w:szCs w:val="22"/>
                <w:lang w:val="en-US"/>
              </w:rPr>
              <w:t>In duly justified cases and based on a liquidity plan setting out the beneficiary’s liquidity needs, the amount of the loan may be increased to cover the liquidity needs for the coming 18 months for SMEs and for the coming 12 months for large enterprises.</w:t>
            </w:r>
          </w:p>
          <w:p w14:paraId="33F96A0C" w14:textId="46C1F500" w:rsidR="007E0009" w:rsidRPr="007E0009" w:rsidRDefault="007E0009" w:rsidP="007E0009">
            <w:pPr>
              <w:pStyle w:val="tv213"/>
              <w:shd w:val="clear" w:color="auto" w:fill="FFFFFF"/>
              <w:spacing w:before="0"/>
              <w:ind w:right="150" w:firstLine="0"/>
              <w:contextualSpacing/>
              <w:rPr>
                <w:rFonts w:asciiTheme="minorHAnsi" w:hAnsiTheme="minorHAnsi" w:cstheme="minorHAnsi"/>
                <w:color w:val="44546A" w:themeColor="text2"/>
                <w:szCs w:val="22"/>
              </w:rPr>
            </w:pPr>
            <w:r w:rsidRPr="007E0009">
              <w:rPr>
                <w:rFonts w:asciiTheme="minorHAnsi" w:hAnsiTheme="minorHAnsi" w:cstheme="minorHAnsi"/>
                <w:color w:val="44546A" w:themeColor="text2"/>
                <w:szCs w:val="22"/>
              </w:rPr>
              <w:t>LIMITS OF PORTFOLIO</w:t>
            </w:r>
            <w:r>
              <w:rPr>
                <w:rFonts w:asciiTheme="minorHAnsi" w:hAnsiTheme="minorHAnsi" w:cstheme="minorHAnsi"/>
                <w:color w:val="44546A" w:themeColor="text2"/>
                <w:szCs w:val="22"/>
              </w:rPr>
              <w:t xml:space="preserve">: </w:t>
            </w:r>
            <w:r w:rsidRPr="007E0009">
              <w:rPr>
                <w:rFonts w:asciiTheme="minorHAnsi" w:hAnsiTheme="minorHAnsi" w:cstheme="minorHAnsi"/>
                <w:color w:val="44546A" w:themeColor="text2"/>
                <w:szCs w:val="22"/>
              </w:rPr>
              <w:t>Max. losses 50 MEUR</w:t>
            </w:r>
            <w:r>
              <w:rPr>
                <w:rFonts w:asciiTheme="minorHAnsi" w:hAnsiTheme="minorHAnsi" w:cstheme="minorHAnsi"/>
                <w:color w:val="44546A" w:themeColor="text2"/>
                <w:szCs w:val="22"/>
              </w:rPr>
              <w:t>; m</w:t>
            </w:r>
            <w:r w:rsidRPr="007E0009">
              <w:rPr>
                <w:rFonts w:asciiTheme="minorHAnsi" w:hAnsiTheme="minorHAnsi" w:cstheme="minorHAnsi"/>
                <w:color w:val="44546A" w:themeColor="text2"/>
                <w:szCs w:val="22"/>
              </w:rPr>
              <w:t>ax. loan portfolio -715 MEUR.</w:t>
            </w:r>
          </w:p>
          <w:p w14:paraId="0C664A31" w14:textId="77777777" w:rsidR="007E0009" w:rsidRDefault="007E0009" w:rsidP="007E0009">
            <w:pPr>
              <w:spacing w:after="0"/>
              <w:ind w:right="144"/>
              <w:jc w:val="both"/>
              <w:rPr>
                <w:rFonts w:cstheme="minorHAnsi"/>
                <w:color w:val="44546A" w:themeColor="text2"/>
              </w:rPr>
            </w:pPr>
          </w:p>
          <w:p w14:paraId="631D3E24" w14:textId="53F469D0" w:rsidR="007E0009" w:rsidRPr="007E0009" w:rsidRDefault="007E0009" w:rsidP="007E0009">
            <w:pPr>
              <w:ind w:right="150"/>
              <w:jc w:val="both"/>
              <w:rPr>
                <w:rFonts w:cstheme="minorHAnsi"/>
                <w:color w:val="44546A" w:themeColor="text2"/>
              </w:rPr>
            </w:pPr>
            <w:r w:rsidRPr="007E0009">
              <w:rPr>
                <w:rFonts w:cstheme="minorHAnsi"/>
                <w:color w:val="44546A" w:themeColor="text2"/>
                <w:u w:val="single"/>
              </w:rPr>
              <w:t>WORKING CAPITAL LOANS</w:t>
            </w:r>
            <w:r w:rsidRPr="007E0009">
              <w:rPr>
                <w:rFonts w:cstheme="minorHAnsi"/>
                <w:color w:val="44546A" w:themeColor="text2"/>
              </w:rPr>
              <w:t>:</w:t>
            </w:r>
            <w:r>
              <w:rPr>
                <w:rFonts w:cstheme="minorHAnsi"/>
                <w:color w:val="44546A" w:themeColor="text2"/>
              </w:rPr>
              <w:t xml:space="preserve"> </w:t>
            </w:r>
            <w:r w:rsidRPr="007E0009">
              <w:rPr>
                <w:rFonts w:cstheme="minorHAnsi"/>
                <w:color w:val="44546A" w:themeColor="text2"/>
              </w:rPr>
              <w:t>Amount of public funding – 50 MEUR</w:t>
            </w:r>
            <w:r>
              <w:rPr>
                <w:rFonts w:cstheme="minorHAnsi"/>
                <w:color w:val="44546A" w:themeColor="text2"/>
              </w:rPr>
              <w:t>; t</w:t>
            </w:r>
            <w:r w:rsidRPr="007E0009">
              <w:rPr>
                <w:rFonts w:cstheme="minorHAnsi"/>
                <w:color w:val="44546A" w:themeColor="text2"/>
              </w:rPr>
              <w:t>otal loan amount – 200 MEUR.</w:t>
            </w:r>
          </w:p>
          <w:p w14:paraId="63B09B95" w14:textId="4959A519" w:rsidR="007E0009" w:rsidRDefault="007E0009" w:rsidP="00717925">
            <w:pPr>
              <w:spacing w:after="120"/>
              <w:ind w:right="144"/>
              <w:rPr>
                <w:rFonts w:cstheme="minorHAnsi"/>
                <w:color w:val="44546A" w:themeColor="text2"/>
              </w:rPr>
            </w:pPr>
            <w:r w:rsidRPr="007E0009">
              <w:rPr>
                <w:rFonts w:cstheme="minorHAnsi"/>
                <w:color w:val="44546A" w:themeColor="text2"/>
              </w:rPr>
              <w:t>PURPOSE</w:t>
            </w:r>
            <w:r>
              <w:rPr>
                <w:rFonts w:cstheme="minorHAnsi"/>
                <w:color w:val="44546A" w:themeColor="text2"/>
              </w:rPr>
              <w:t xml:space="preserve">: </w:t>
            </w:r>
            <w:r w:rsidRPr="007E0009">
              <w:rPr>
                <w:rFonts w:cstheme="minorHAnsi"/>
                <w:color w:val="44546A" w:themeColor="text2"/>
              </w:rPr>
              <w:t>For companies that are in a need of additional working capital as a result of Covid-19.</w:t>
            </w:r>
          </w:p>
          <w:p w14:paraId="7CB76826" w14:textId="53AEDB67" w:rsidR="007E0009" w:rsidRDefault="007E0009" w:rsidP="00717925">
            <w:pPr>
              <w:spacing w:after="120"/>
              <w:ind w:right="144"/>
              <w:rPr>
                <w:rFonts w:cstheme="minorHAnsi"/>
                <w:color w:val="44546A" w:themeColor="text2"/>
              </w:rPr>
            </w:pPr>
            <w:r w:rsidRPr="007E0009">
              <w:rPr>
                <w:rFonts w:cstheme="minorHAnsi"/>
                <w:color w:val="44546A" w:themeColor="text2"/>
              </w:rPr>
              <w:t>TARGET GROUP</w:t>
            </w:r>
            <w:r>
              <w:rPr>
                <w:rFonts w:cstheme="minorHAnsi"/>
                <w:color w:val="44546A" w:themeColor="text2"/>
              </w:rPr>
              <w:t xml:space="preserve">: </w:t>
            </w:r>
            <w:r w:rsidRPr="007E0009">
              <w:rPr>
                <w:rFonts w:cstheme="minorHAnsi"/>
                <w:color w:val="44546A" w:themeColor="text2"/>
              </w:rPr>
              <w:t>SMEs, large companies, agriculture and fisheries. All amoral sectors are excluded</w:t>
            </w:r>
            <w:r>
              <w:rPr>
                <w:rFonts w:cstheme="minorHAnsi"/>
                <w:color w:val="44546A" w:themeColor="text2"/>
              </w:rPr>
              <w:t>.</w:t>
            </w:r>
          </w:p>
          <w:p w14:paraId="49B7E4B8" w14:textId="77777777" w:rsidR="007E0009" w:rsidRDefault="007E0009" w:rsidP="007E0009">
            <w:pPr>
              <w:spacing w:after="0"/>
              <w:ind w:right="144"/>
              <w:rPr>
                <w:rFonts w:cstheme="minorHAnsi"/>
                <w:color w:val="44546A" w:themeColor="text2"/>
              </w:rPr>
            </w:pPr>
            <w:r w:rsidRPr="007E0009">
              <w:rPr>
                <w:rFonts w:cstheme="minorHAnsi"/>
                <w:color w:val="44546A" w:themeColor="text2"/>
              </w:rPr>
              <w:t>CONDITIONS</w:t>
            </w:r>
            <w:r>
              <w:rPr>
                <w:rFonts w:cstheme="minorHAnsi"/>
                <w:color w:val="44546A" w:themeColor="text2"/>
              </w:rPr>
              <w:t xml:space="preserve">: </w:t>
            </w:r>
          </w:p>
          <w:p w14:paraId="1C6D8322" w14:textId="77777777" w:rsidR="007E0009" w:rsidRDefault="007E0009" w:rsidP="007E0009">
            <w:pPr>
              <w:pStyle w:val="ListParagraph"/>
              <w:numPr>
                <w:ilvl w:val="0"/>
                <w:numId w:val="30"/>
              </w:numPr>
              <w:ind w:right="150"/>
              <w:rPr>
                <w:rFonts w:cstheme="minorHAnsi"/>
                <w:color w:val="44546A" w:themeColor="text2"/>
              </w:rPr>
            </w:pPr>
            <w:r w:rsidRPr="007E0009">
              <w:rPr>
                <w:rFonts w:cstheme="minorHAnsi"/>
                <w:color w:val="44546A" w:themeColor="text2"/>
              </w:rPr>
              <w:t xml:space="preserve">Max. amount for one beneficiary - 1 MEUR; </w:t>
            </w:r>
          </w:p>
          <w:p w14:paraId="2D0256CD" w14:textId="023AF9DB" w:rsidR="007E0009" w:rsidRPr="007E0009" w:rsidRDefault="007E0009" w:rsidP="007E0009">
            <w:pPr>
              <w:pStyle w:val="ListParagraph"/>
              <w:numPr>
                <w:ilvl w:val="0"/>
                <w:numId w:val="30"/>
              </w:numPr>
              <w:ind w:right="150"/>
              <w:rPr>
                <w:rFonts w:cstheme="minorHAnsi"/>
                <w:color w:val="44546A" w:themeColor="text2"/>
              </w:rPr>
            </w:pPr>
            <w:r>
              <w:rPr>
                <w:rFonts w:cstheme="minorHAnsi"/>
                <w:color w:val="44546A" w:themeColor="text2"/>
              </w:rPr>
              <w:t>O</w:t>
            </w:r>
            <w:r w:rsidRPr="007E0009">
              <w:rPr>
                <w:rFonts w:cstheme="minorHAnsi"/>
                <w:color w:val="44546A" w:themeColor="text2"/>
              </w:rPr>
              <w:t>ne of following factors must be fulfilled:</w:t>
            </w:r>
          </w:p>
          <w:p w14:paraId="4DC8D1A9" w14:textId="77777777" w:rsidR="007E0009" w:rsidRPr="007E0009" w:rsidRDefault="007E0009" w:rsidP="007E0009">
            <w:pPr>
              <w:pStyle w:val="ListParagraph"/>
              <w:numPr>
                <w:ilvl w:val="0"/>
                <w:numId w:val="28"/>
              </w:numPr>
              <w:ind w:left="790" w:right="150"/>
              <w:rPr>
                <w:rFonts w:cstheme="minorHAnsi"/>
                <w:color w:val="44546A" w:themeColor="text2"/>
              </w:rPr>
            </w:pPr>
            <w:r w:rsidRPr="007E0009">
              <w:rPr>
                <w:rFonts w:cstheme="minorHAnsi"/>
                <w:color w:val="44546A" w:themeColor="text2"/>
              </w:rPr>
              <w:t>company must demonstrate the required liquidity needs for the next:</w:t>
            </w:r>
          </w:p>
          <w:p w14:paraId="2C201C68" w14:textId="77777777" w:rsidR="007E0009" w:rsidRPr="007E0009" w:rsidRDefault="007E0009" w:rsidP="007E0009">
            <w:pPr>
              <w:pStyle w:val="ListParagraph"/>
              <w:numPr>
                <w:ilvl w:val="1"/>
                <w:numId w:val="19"/>
              </w:numPr>
              <w:ind w:left="1150" w:right="150"/>
              <w:rPr>
                <w:rFonts w:cstheme="minorHAnsi"/>
                <w:color w:val="44546A" w:themeColor="text2"/>
              </w:rPr>
            </w:pPr>
            <w:r w:rsidRPr="007E0009">
              <w:rPr>
                <w:rFonts w:cstheme="minorHAnsi"/>
                <w:color w:val="44546A" w:themeColor="text2"/>
              </w:rPr>
              <w:t>18 months for SMEs;</w:t>
            </w:r>
          </w:p>
          <w:p w14:paraId="66EE9DB7" w14:textId="77777777" w:rsidR="007E0009" w:rsidRPr="007E0009" w:rsidRDefault="007E0009" w:rsidP="007E0009">
            <w:pPr>
              <w:pStyle w:val="ListParagraph"/>
              <w:numPr>
                <w:ilvl w:val="1"/>
                <w:numId w:val="19"/>
              </w:numPr>
              <w:ind w:left="1150" w:right="150"/>
              <w:rPr>
                <w:rFonts w:cstheme="minorHAnsi"/>
                <w:color w:val="44546A" w:themeColor="text2"/>
              </w:rPr>
            </w:pPr>
            <w:r w:rsidRPr="007E0009">
              <w:rPr>
                <w:rFonts w:cstheme="minorHAnsi"/>
                <w:color w:val="44546A" w:themeColor="text2"/>
              </w:rPr>
              <w:t>12 months for large companies or</w:t>
            </w:r>
          </w:p>
          <w:p w14:paraId="6B2570CF" w14:textId="77777777" w:rsidR="007E0009" w:rsidRPr="007E0009" w:rsidRDefault="007E0009" w:rsidP="007E0009">
            <w:pPr>
              <w:pStyle w:val="ListParagraph"/>
              <w:numPr>
                <w:ilvl w:val="0"/>
                <w:numId w:val="28"/>
              </w:numPr>
              <w:ind w:left="790" w:right="150"/>
              <w:rPr>
                <w:rFonts w:cstheme="minorHAnsi"/>
                <w:color w:val="44546A" w:themeColor="text2"/>
              </w:rPr>
            </w:pPr>
            <w:r w:rsidRPr="007E0009">
              <w:rPr>
                <w:rFonts w:cstheme="minorHAnsi"/>
                <w:color w:val="44546A" w:themeColor="text2"/>
              </w:rPr>
              <w:t>The value of the loan cannot exceed the double value of total wages (including social insurance) paid by the company in 2019.</w:t>
            </w:r>
          </w:p>
          <w:p w14:paraId="1665B4A8" w14:textId="77777777" w:rsidR="007E0009" w:rsidRPr="007E0009" w:rsidRDefault="007E0009" w:rsidP="007E0009">
            <w:pPr>
              <w:pStyle w:val="ListParagraph"/>
              <w:numPr>
                <w:ilvl w:val="0"/>
                <w:numId w:val="29"/>
              </w:numPr>
              <w:ind w:left="284" w:right="150"/>
              <w:rPr>
                <w:rFonts w:cstheme="minorHAnsi"/>
                <w:color w:val="44546A" w:themeColor="text2"/>
              </w:rPr>
            </w:pPr>
            <w:r w:rsidRPr="007E0009">
              <w:rPr>
                <w:rFonts w:cstheme="minorHAnsi"/>
                <w:color w:val="44546A" w:themeColor="text2"/>
              </w:rPr>
              <w:t>Max. term – 3 years.</w:t>
            </w:r>
          </w:p>
          <w:p w14:paraId="56D04375" w14:textId="77777777" w:rsidR="007E0009" w:rsidRPr="007E0009" w:rsidRDefault="007E0009" w:rsidP="007E0009">
            <w:pPr>
              <w:pStyle w:val="ListParagraph"/>
              <w:numPr>
                <w:ilvl w:val="0"/>
                <w:numId w:val="29"/>
              </w:numPr>
              <w:ind w:left="284" w:right="150"/>
              <w:rPr>
                <w:rFonts w:cstheme="minorHAnsi"/>
                <w:color w:val="44546A" w:themeColor="text2"/>
              </w:rPr>
            </w:pPr>
            <w:r w:rsidRPr="007E0009">
              <w:rPr>
                <w:rFonts w:cstheme="minorHAnsi"/>
                <w:color w:val="44546A" w:themeColor="text2"/>
              </w:rPr>
              <w:t>Grace period – up to 12 months.</w:t>
            </w:r>
          </w:p>
          <w:p w14:paraId="0EB8C2B6" w14:textId="77777777" w:rsidR="007E0009" w:rsidRPr="007E0009" w:rsidRDefault="007E0009" w:rsidP="007E0009">
            <w:pPr>
              <w:pStyle w:val="ListParagraph"/>
              <w:numPr>
                <w:ilvl w:val="0"/>
                <w:numId w:val="29"/>
              </w:numPr>
              <w:ind w:left="284" w:right="150"/>
              <w:rPr>
                <w:rFonts w:cstheme="minorHAnsi"/>
                <w:color w:val="44546A" w:themeColor="text2"/>
              </w:rPr>
            </w:pPr>
            <w:r w:rsidRPr="007E0009">
              <w:rPr>
                <w:rFonts w:cstheme="minorHAnsi"/>
                <w:color w:val="44546A" w:themeColor="text2"/>
              </w:rPr>
              <w:t>Interest rate:</w:t>
            </w:r>
          </w:p>
          <w:p w14:paraId="61128679" w14:textId="77777777" w:rsidR="007E0009" w:rsidRPr="007E0009" w:rsidRDefault="007E0009" w:rsidP="007E0009">
            <w:pPr>
              <w:pStyle w:val="ListParagraph"/>
              <w:numPr>
                <w:ilvl w:val="0"/>
                <w:numId w:val="29"/>
              </w:numPr>
              <w:ind w:left="284" w:right="150"/>
              <w:rPr>
                <w:rFonts w:cstheme="minorHAnsi"/>
                <w:i/>
                <w:iCs/>
                <w:color w:val="44546A" w:themeColor="text2"/>
                <w:lang w:val="en-US"/>
              </w:rPr>
            </w:pPr>
            <w:r w:rsidRPr="007E0009">
              <w:rPr>
                <w:rFonts w:cstheme="minorHAnsi"/>
                <w:color w:val="44546A" w:themeColor="text2"/>
                <w:lang w:val="en-US"/>
              </w:rPr>
              <w:t xml:space="preserve">Reduced according to </w:t>
            </w:r>
            <w:r w:rsidRPr="007E0009">
              <w:rPr>
                <w:rFonts w:cstheme="minorHAnsi"/>
                <w:i/>
                <w:iCs/>
                <w:color w:val="44546A" w:themeColor="text2"/>
                <w:lang w:val="en-US"/>
              </w:rPr>
              <w:t>Temporary Framework to support the economy in the context of the COVID-19 outbreak.</w:t>
            </w:r>
          </w:p>
          <w:p w14:paraId="66E15C0A" w14:textId="77777777" w:rsidR="007E0009" w:rsidRPr="007E0009" w:rsidRDefault="007E0009" w:rsidP="007E0009">
            <w:pPr>
              <w:pStyle w:val="ListParagraph"/>
              <w:numPr>
                <w:ilvl w:val="0"/>
                <w:numId w:val="29"/>
              </w:numPr>
              <w:ind w:left="284" w:right="150"/>
              <w:rPr>
                <w:rFonts w:cstheme="minorHAnsi"/>
                <w:i/>
                <w:iCs/>
                <w:color w:val="44546A" w:themeColor="text2"/>
                <w:lang w:val="en-US"/>
              </w:rPr>
            </w:pPr>
            <w:r w:rsidRPr="007E0009">
              <w:rPr>
                <w:rFonts w:cstheme="minorHAnsi"/>
                <w:color w:val="44546A" w:themeColor="text2"/>
              </w:rPr>
              <w:t>Significantly reduced collateral requirements taking into account company's assets.</w:t>
            </w:r>
          </w:p>
          <w:p w14:paraId="0C072F56" w14:textId="77777777" w:rsidR="007E0009" w:rsidRPr="00F5327D" w:rsidRDefault="007E0009" w:rsidP="007E0009">
            <w:pPr>
              <w:pStyle w:val="PlainText"/>
              <w:jc w:val="both"/>
              <w:rPr>
                <w:rFonts w:ascii="Times New Roman" w:hAnsi="Times New Roman" w:cs="Times New Roman"/>
                <w:color w:val="FF0000"/>
                <w:sz w:val="20"/>
                <w:szCs w:val="20"/>
                <w:lang w:val="es-ES"/>
              </w:rPr>
            </w:pPr>
            <w:r w:rsidRPr="00F5327D">
              <w:rPr>
                <w:rFonts w:ascii="Times New Roman" w:hAnsi="Times New Roman" w:cs="Times New Roman"/>
                <w:color w:val="FF0000"/>
                <w:sz w:val="20"/>
                <w:szCs w:val="20"/>
                <w:lang w:val="es-ES"/>
              </w:rPr>
              <w:t>Elīna Dlohi</w:t>
            </w:r>
          </w:p>
          <w:p w14:paraId="3F0C1274" w14:textId="01A9563A" w:rsidR="007E0009" w:rsidRPr="007E0009" w:rsidRDefault="00F937DF" w:rsidP="007E0009">
            <w:pPr>
              <w:pStyle w:val="PlainText"/>
              <w:spacing w:after="120"/>
              <w:jc w:val="both"/>
              <w:rPr>
                <w:rFonts w:cstheme="minorHAnsi"/>
                <w:i/>
                <w:iCs/>
                <w:color w:val="44546A" w:themeColor="text2"/>
                <w:lang w:val="es-ES"/>
              </w:rPr>
            </w:pPr>
            <w:hyperlink r:id="rId24" w:history="1">
              <w:r w:rsidR="007E0009" w:rsidRPr="00F5327D">
                <w:rPr>
                  <w:rFonts w:ascii="Times New Roman" w:hAnsi="Times New Roman" w:cs="Times New Roman"/>
                  <w:color w:val="FF0000"/>
                  <w:sz w:val="20"/>
                  <w:szCs w:val="20"/>
                  <w:lang w:val="es-ES"/>
                </w:rPr>
                <w:t>Elina.Dlohi@altum.lv</w:t>
              </w:r>
            </w:hyperlink>
            <w:r w:rsidR="007E0009">
              <w:rPr>
                <w:rFonts w:cstheme="minorHAnsi"/>
                <w:i/>
                <w:iCs/>
                <w:color w:val="44546A" w:themeColor="text2"/>
                <w:lang w:val="es-ES"/>
              </w:rPr>
              <w:t xml:space="preserve"> </w:t>
            </w:r>
          </w:p>
        </w:tc>
      </w:tr>
      <w:tr w:rsidR="00AA3623" w:rsidRPr="00490651" w14:paraId="37124C1B" w14:textId="77777777" w:rsidTr="007E0009">
        <w:tc>
          <w:tcPr>
            <w:tcW w:w="2599" w:type="dxa"/>
          </w:tcPr>
          <w:p w14:paraId="0DDB3235"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lastRenderedPageBreak/>
              <w:t>RVO</w:t>
            </w:r>
          </w:p>
          <w:p w14:paraId="2D21D1E1" w14:textId="77777777" w:rsidR="00AA3623" w:rsidRDefault="00AA3623" w:rsidP="000011DF">
            <w:pPr>
              <w:pStyle w:val="ListParagraph"/>
              <w:spacing w:before="120" w:after="0" w:line="240" w:lineRule="auto"/>
              <w:ind w:left="1080"/>
              <w:jc w:val="both"/>
              <w:rPr>
                <w:rFonts w:cs="Times New Roman"/>
                <w:b/>
                <w:sz w:val="24"/>
                <w:szCs w:val="24"/>
                <w:lang w:val="en-US"/>
              </w:rPr>
            </w:pPr>
            <w:r>
              <w:rPr>
                <w:rFonts w:cs="Times New Roman"/>
                <w:b/>
                <w:sz w:val="24"/>
                <w:szCs w:val="24"/>
                <w:lang w:val="en-US"/>
              </w:rPr>
              <w:t>Netherlands</w:t>
            </w:r>
          </w:p>
        </w:tc>
        <w:tc>
          <w:tcPr>
            <w:tcW w:w="8175" w:type="dxa"/>
          </w:tcPr>
          <w:p w14:paraId="057D682D" w14:textId="77777777" w:rsidR="00AA3623" w:rsidRDefault="00F937DF" w:rsidP="000011DF">
            <w:pPr>
              <w:jc w:val="both"/>
              <w:rPr>
                <w:color w:val="1F497D"/>
              </w:rPr>
            </w:pPr>
            <w:hyperlink r:id="rId25" w:history="1">
              <w:r w:rsidR="00AA3623" w:rsidRPr="004660D3">
                <w:rPr>
                  <w:rStyle w:val="Hyperlink"/>
                  <w:lang w:val="en-US"/>
                </w:rPr>
                <w:t>https://www.rvo.nl/actueel/nieuws/coronavirus-verruimde-bmkb-regeling-voor-ondernemers-versneld-open</w:t>
              </w:r>
            </w:hyperlink>
          </w:p>
        </w:tc>
      </w:tr>
      <w:tr w:rsidR="00AA3623" w:rsidRPr="00490651" w14:paraId="3DB7D9F4" w14:textId="77777777" w:rsidTr="007E0009">
        <w:tc>
          <w:tcPr>
            <w:tcW w:w="2599" w:type="dxa"/>
          </w:tcPr>
          <w:p w14:paraId="53FE85C5"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t>BGK</w:t>
            </w:r>
          </w:p>
          <w:p w14:paraId="665EA7DD" w14:textId="77777777" w:rsidR="00AA3623" w:rsidRDefault="00AA3623" w:rsidP="000011DF">
            <w:pPr>
              <w:pStyle w:val="ListParagraph"/>
              <w:spacing w:before="120" w:after="0" w:line="240" w:lineRule="auto"/>
              <w:ind w:left="1080"/>
              <w:jc w:val="both"/>
              <w:rPr>
                <w:rFonts w:cs="Times New Roman"/>
                <w:b/>
                <w:sz w:val="24"/>
                <w:szCs w:val="24"/>
                <w:lang w:val="en-US"/>
              </w:rPr>
            </w:pPr>
            <w:r>
              <w:rPr>
                <w:rFonts w:cs="Times New Roman"/>
                <w:b/>
                <w:sz w:val="24"/>
                <w:szCs w:val="24"/>
                <w:lang w:val="en-US"/>
              </w:rPr>
              <w:t>Poland</w:t>
            </w:r>
          </w:p>
        </w:tc>
        <w:tc>
          <w:tcPr>
            <w:tcW w:w="8175" w:type="dxa"/>
          </w:tcPr>
          <w:p w14:paraId="585AA632" w14:textId="77777777" w:rsidR="00AA3623" w:rsidRPr="00A431DD" w:rsidRDefault="00AA3623" w:rsidP="00C83E0B">
            <w:pPr>
              <w:spacing w:before="120"/>
              <w:rPr>
                <w:color w:val="1F497D"/>
              </w:rPr>
            </w:pPr>
            <w:r w:rsidRPr="00A431DD">
              <w:rPr>
                <w:color w:val="1F497D"/>
              </w:rPr>
              <w:t xml:space="preserve">The Minister of Finance signed an ordinance on granting by Bank </w:t>
            </w:r>
            <w:proofErr w:type="spellStart"/>
            <w:r w:rsidRPr="00A431DD">
              <w:rPr>
                <w:color w:val="1F497D"/>
              </w:rPr>
              <w:t>Gospodarstwa</w:t>
            </w:r>
            <w:proofErr w:type="spellEnd"/>
            <w:r w:rsidRPr="00A431DD">
              <w:rPr>
                <w:color w:val="1F497D"/>
              </w:rPr>
              <w:t xml:space="preserve"> </w:t>
            </w:r>
            <w:proofErr w:type="spellStart"/>
            <w:r w:rsidRPr="00A431DD">
              <w:rPr>
                <w:color w:val="1F497D"/>
              </w:rPr>
              <w:t>Krajowego</w:t>
            </w:r>
            <w:proofErr w:type="spellEnd"/>
            <w:r w:rsidRPr="00A431DD">
              <w:rPr>
                <w:color w:val="1F497D"/>
              </w:rPr>
              <w:t xml:space="preserve"> a guarantee for the repayment of loans under the de minimis aid formula for micro, small and medium-sized enterprises (SMEs).</w:t>
            </w:r>
          </w:p>
          <w:p w14:paraId="28A6AEFF" w14:textId="77777777" w:rsidR="00AA3623" w:rsidRPr="00A431DD" w:rsidRDefault="00AA3623" w:rsidP="000011DF">
            <w:pPr>
              <w:rPr>
                <w:color w:val="1F497D"/>
              </w:rPr>
            </w:pPr>
            <w:r w:rsidRPr="00A431DD">
              <w:rPr>
                <w:color w:val="1F497D"/>
              </w:rPr>
              <w:t>The amendment to the Regulation of the Minister of Finance will make it possible to cover up to 80% (up from 60%) of loans with guarantees.</w:t>
            </w:r>
          </w:p>
          <w:p w14:paraId="1D943685" w14:textId="77777777" w:rsidR="00AA3623" w:rsidRPr="00A431DD" w:rsidRDefault="00AA3623" w:rsidP="000011DF">
            <w:pPr>
              <w:rPr>
                <w:color w:val="1F497D"/>
              </w:rPr>
            </w:pPr>
            <w:r w:rsidRPr="00A431DD">
              <w:rPr>
                <w:color w:val="1F497D"/>
              </w:rPr>
              <w:t>The Ministry of Finance decided to reduce the fee for such guarantees from the current 0.5% to 0%.</w:t>
            </w:r>
          </w:p>
          <w:p w14:paraId="59FC438A" w14:textId="77777777" w:rsidR="00AA3623" w:rsidRPr="00804261" w:rsidRDefault="00F937DF" w:rsidP="000011DF">
            <w:pPr>
              <w:jc w:val="both"/>
              <w:rPr>
                <w:color w:val="1F497D"/>
              </w:rPr>
            </w:pPr>
            <w:hyperlink r:id="rId26" w:history="1">
              <w:r w:rsidR="00AA3623" w:rsidRPr="00A431DD">
                <w:rPr>
                  <w:rStyle w:val="Hyperlink"/>
                </w:rPr>
                <w:t>https://www.gov.pl/web/finanse/ministerstwo-finansow-z-pomoca-dla-msp</w:t>
              </w:r>
            </w:hyperlink>
          </w:p>
        </w:tc>
      </w:tr>
      <w:tr w:rsidR="00AA3623" w:rsidRPr="00490651" w14:paraId="75AF2942" w14:textId="77777777" w:rsidTr="007E0009">
        <w:tc>
          <w:tcPr>
            <w:tcW w:w="2599" w:type="dxa"/>
          </w:tcPr>
          <w:p w14:paraId="513130CB"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lastRenderedPageBreak/>
              <w:t>IAPMEI</w:t>
            </w:r>
          </w:p>
          <w:p w14:paraId="6729BCB4"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Portugal</w:t>
            </w:r>
          </w:p>
        </w:tc>
        <w:tc>
          <w:tcPr>
            <w:tcW w:w="8175" w:type="dxa"/>
          </w:tcPr>
          <w:p w14:paraId="473920E1" w14:textId="77777777" w:rsidR="00AA3623" w:rsidRPr="00804261" w:rsidRDefault="00F937DF" w:rsidP="00C83E0B">
            <w:pPr>
              <w:spacing w:before="120"/>
              <w:rPr>
                <w:color w:val="1F497D"/>
              </w:rPr>
            </w:pPr>
            <w:hyperlink r:id="rId27" w:history="1">
              <w:r w:rsidR="00AA3623">
                <w:rPr>
                  <w:rStyle w:val="Hyperlink"/>
                </w:rPr>
                <w:t>https://www.iapmei.pt/Paginas/Medidas-de-apoio-as-empresas-relacionadas-com-o-im.aspx</w:t>
              </w:r>
            </w:hyperlink>
          </w:p>
        </w:tc>
      </w:tr>
      <w:tr w:rsidR="00AA3623" w:rsidRPr="00F5327D" w14:paraId="564EEF19" w14:textId="77777777" w:rsidTr="007E0009">
        <w:tc>
          <w:tcPr>
            <w:tcW w:w="2599" w:type="dxa"/>
          </w:tcPr>
          <w:p w14:paraId="5BCEBACB" w14:textId="00C98871" w:rsidR="00AA3623" w:rsidRDefault="00E71DC8" w:rsidP="00AA3623">
            <w:pPr>
              <w:pStyle w:val="ListParagraph"/>
              <w:numPr>
                <w:ilvl w:val="0"/>
                <w:numId w:val="13"/>
              </w:numPr>
              <w:spacing w:before="120" w:after="0" w:line="240" w:lineRule="auto"/>
              <w:jc w:val="both"/>
              <w:rPr>
                <w:rFonts w:cs="Times New Roman"/>
                <w:b/>
                <w:sz w:val="24"/>
                <w:szCs w:val="24"/>
                <w:lang w:val="en-US"/>
              </w:rPr>
            </w:pPr>
            <w:r>
              <w:br w:type="page"/>
            </w:r>
            <w:r w:rsidR="00AA3623">
              <w:rPr>
                <w:rFonts w:cs="Times New Roman"/>
                <w:b/>
                <w:sz w:val="24"/>
                <w:szCs w:val="24"/>
                <w:lang w:val="en-US"/>
              </w:rPr>
              <w:t>FNGCIMM</w:t>
            </w:r>
          </w:p>
          <w:p w14:paraId="24E0D44A"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Romania</w:t>
            </w:r>
          </w:p>
        </w:tc>
        <w:tc>
          <w:tcPr>
            <w:tcW w:w="8175" w:type="dxa"/>
          </w:tcPr>
          <w:p w14:paraId="603CECDA" w14:textId="77777777" w:rsidR="00AA3623" w:rsidRPr="006659AC" w:rsidRDefault="00AA3623" w:rsidP="00C83E0B">
            <w:pPr>
              <w:spacing w:before="120"/>
              <w:jc w:val="both"/>
              <w:rPr>
                <w:color w:val="1F497D"/>
              </w:rPr>
            </w:pPr>
            <w:r>
              <w:rPr>
                <w:color w:val="1F497D"/>
                <w:lang w:val="en-US"/>
              </w:rPr>
              <w:t>FNGCIMM is currently</w:t>
            </w:r>
            <w:r w:rsidRPr="006659AC">
              <w:rPr>
                <w:color w:val="1F497D"/>
              </w:rPr>
              <w:t xml:space="preserve"> looking at modifying the existing guarantee activity covering the existing credit lines when they have to be renewed.</w:t>
            </w:r>
          </w:p>
          <w:p w14:paraId="1C575C76" w14:textId="77777777" w:rsidR="00AA3623" w:rsidRPr="006659AC" w:rsidRDefault="00AA3623" w:rsidP="000011DF">
            <w:pPr>
              <w:jc w:val="both"/>
              <w:rPr>
                <w:color w:val="1F497D"/>
              </w:rPr>
            </w:pPr>
            <w:r w:rsidRPr="006659AC">
              <w:rPr>
                <w:color w:val="1F497D"/>
              </w:rPr>
              <w:t>At the national level, the Romanian government has a “business” continuity plan for the situation of non-availability of the institutional staff of 10%, 30% or 50%.</w:t>
            </w:r>
          </w:p>
          <w:p w14:paraId="1070A674" w14:textId="7CEDDAA5" w:rsidR="00E62D5E" w:rsidRPr="00E62D5E" w:rsidRDefault="00E62D5E" w:rsidP="000011DF">
            <w:pPr>
              <w:jc w:val="both"/>
              <w:rPr>
                <w:color w:val="1F497D"/>
              </w:rPr>
            </w:pPr>
            <w:r w:rsidRPr="00E62D5E">
              <w:rPr>
                <w:color w:val="1F497D"/>
              </w:rPr>
              <w:t xml:space="preserve">FNGCIMM encourages banks to postpone the loan payments for a period of 1 to 3 months, </w:t>
            </w:r>
            <w:r>
              <w:rPr>
                <w:color w:val="1F497D"/>
              </w:rPr>
              <w:t>in order to</w:t>
            </w:r>
            <w:r w:rsidRPr="00E62D5E">
              <w:rPr>
                <w:color w:val="1F497D"/>
              </w:rPr>
              <w:t xml:space="preserve"> support vulnerable beneficiaries during this period. Similarly, FNGCIMM shows flexibility regarding the extension of the period of the guarantees granted under the Governmental ‘First House Program’ as well as of credits granted to SMEs from 30 days to 90 days, without charging the guarantee fee.  </w:t>
            </w:r>
            <w:bookmarkStart w:id="1" w:name="_GoBack"/>
            <w:bookmarkEnd w:id="1"/>
          </w:p>
          <w:p w14:paraId="5CBCA5EC" w14:textId="77777777" w:rsidR="00AA3623" w:rsidRPr="00490651" w:rsidRDefault="00AA3623" w:rsidP="000011DF">
            <w:pPr>
              <w:pStyle w:val="PlainText"/>
              <w:jc w:val="both"/>
              <w:rPr>
                <w:rFonts w:ascii="Times New Roman" w:hAnsi="Times New Roman" w:cs="Times New Roman"/>
                <w:color w:val="FF0000"/>
                <w:sz w:val="20"/>
                <w:szCs w:val="20"/>
                <w:lang w:val="it-IT"/>
              </w:rPr>
            </w:pPr>
            <w:r w:rsidRPr="00490651">
              <w:rPr>
                <w:rFonts w:ascii="Times New Roman" w:hAnsi="Times New Roman" w:cs="Times New Roman"/>
                <w:color w:val="FF0000"/>
                <w:sz w:val="20"/>
                <w:szCs w:val="20"/>
                <w:lang w:val="it-IT"/>
              </w:rPr>
              <w:t>Simona Muresan</w:t>
            </w:r>
          </w:p>
          <w:p w14:paraId="4C3632FD" w14:textId="77777777" w:rsidR="00AA3623" w:rsidRPr="00A431DD" w:rsidRDefault="00F937DF" w:rsidP="00B05497">
            <w:pPr>
              <w:pStyle w:val="PlainText"/>
              <w:spacing w:after="120"/>
              <w:jc w:val="both"/>
              <w:rPr>
                <w:color w:val="1F497D"/>
                <w:lang w:val="it-IT"/>
              </w:rPr>
            </w:pPr>
            <w:hyperlink r:id="rId28" w:history="1">
              <w:r w:rsidR="00AA3623" w:rsidRPr="00490651">
                <w:rPr>
                  <w:rFonts w:ascii="Times New Roman" w:hAnsi="Times New Roman" w:cs="Times New Roman"/>
                  <w:color w:val="FF0000"/>
                  <w:sz w:val="20"/>
                  <w:szCs w:val="20"/>
                  <w:lang w:val="it-IT"/>
                </w:rPr>
                <w:t>simona.muresan@fngcimm.ro</w:t>
              </w:r>
            </w:hyperlink>
          </w:p>
        </w:tc>
      </w:tr>
      <w:tr w:rsidR="00AA3623" w:rsidRPr="000C6686" w14:paraId="66E9C2C6" w14:textId="77777777" w:rsidTr="007E0009">
        <w:tc>
          <w:tcPr>
            <w:tcW w:w="2599" w:type="dxa"/>
          </w:tcPr>
          <w:p w14:paraId="2D376E18"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t>FRC</w:t>
            </w:r>
          </w:p>
          <w:p w14:paraId="42876AA8"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Romania</w:t>
            </w:r>
          </w:p>
        </w:tc>
        <w:tc>
          <w:tcPr>
            <w:tcW w:w="8175" w:type="dxa"/>
          </w:tcPr>
          <w:p w14:paraId="60138400" w14:textId="77777777" w:rsidR="00AA3623" w:rsidRDefault="00AA3623" w:rsidP="000011DF">
            <w:pPr>
              <w:jc w:val="both"/>
              <w:rPr>
                <w:color w:val="1F497D"/>
                <w:lang w:val="en-US"/>
              </w:rPr>
            </w:pPr>
            <w:r>
              <w:rPr>
                <w:color w:val="1F497D"/>
                <w:lang w:val="en-US"/>
              </w:rPr>
              <w:t>Nothing yet.</w:t>
            </w:r>
          </w:p>
          <w:p w14:paraId="67BBCD16" w14:textId="77777777" w:rsidR="00AA3623" w:rsidRPr="000C6686" w:rsidRDefault="00AA3623" w:rsidP="000011DF">
            <w:pPr>
              <w:pStyle w:val="PlainText"/>
              <w:jc w:val="both"/>
              <w:rPr>
                <w:rFonts w:ascii="Times New Roman" w:hAnsi="Times New Roman" w:cs="Times New Roman"/>
                <w:color w:val="FF0000"/>
                <w:sz w:val="20"/>
                <w:szCs w:val="20"/>
              </w:rPr>
            </w:pPr>
            <w:r w:rsidRPr="000C6686">
              <w:rPr>
                <w:rFonts w:ascii="Times New Roman" w:hAnsi="Times New Roman" w:cs="Times New Roman"/>
                <w:color w:val="FF0000"/>
                <w:sz w:val="20"/>
                <w:szCs w:val="20"/>
              </w:rPr>
              <w:t>Ovidiu</w:t>
            </w:r>
            <w:r>
              <w:rPr>
                <w:rFonts w:ascii="Times New Roman" w:hAnsi="Times New Roman" w:cs="Times New Roman"/>
                <w:color w:val="FF0000"/>
                <w:sz w:val="20"/>
                <w:szCs w:val="20"/>
                <w:lang w:val="en-US"/>
              </w:rPr>
              <w:t xml:space="preserve"> V</w:t>
            </w:r>
            <w:proofErr w:type="spellStart"/>
            <w:r w:rsidRPr="000C6686">
              <w:rPr>
                <w:rFonts w:ascii="Times New Roman" w:hAnsi="Times New Roman" w:cs="Times New Roman"/>
                <w:color w:val="FF0000"/>
                <w:sz w:val="20"/>
                <w:szCs w:val="20"/>
              </w:rPr>
              <w:t>ajiala</w:t>
            </w:r>
            <w:proofErr w:type="spellEnd"/>
          </w:p>
          <w:p w14:paraId="2AB7C412" w14:textId="77777777" w:rsidR="00AA3623" w:rsidRPr="00343F62" w:rsidRDefault="00F937DF" w:rsidP="00B05497">
            <w:pPr>
              <w:pStyle w:val="PlainText"/>
              <w:spacing w:after="120"/>
              <w:jc w:val="both"/>
              <w:rPr>
                <w:color w:val="1F497D"/>
                <w:lang w:val="en-US"/>
              </w:rPr>
            </w:pPr>
            <w:hyperlink r:id="rId29" w:history="1">
              <w:r w:rsidR="00AA3623" w:rsidRPr="000C6686">
                <w:rPr>
                  <w:rFonts w:ascii="Times New Roman" w:hAnsi="Times New Roman" w:cs="Times New Roman"/>
                  <w:color w:val="FF0000"/>
                  <w:sz w:val="20"/>
                  <w:szCs w:val="20"/>
                </w:rPr>
                <w:t>ovidiu.vajiala@contragarantare.ro</w:t>
              </w:r>
            </w:hyperlink>
          </w:p>
        </w:tc>
      </w:tr>
      <w:tr w:rsidR="00AA3623" w:rsidRPr="00E62D5E" w14:paraId="33E30B26" w14:textId="77777777" w:rsidTr="007E0009">
        <w:tc>
          <w:tcPr>
            <w:tcW w:w="2599" w:type="dxa"/>
          </w:tcPr>
          <w:p w14:paraId="30E216C6"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t>CESGAR</w:t>
            </w:r>
          </w:p>
          <w:p w14:paraId="6C907288"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Spain</w:t>
            </w:r>
          </w:p>
        </w:tc>
        <w:tc>
          <w:tcPr>
            <w:tcW w:w="8175" w:type="dxa"/>
          </w:tcPr>
          <w:p w14:paraId="7C86CBFB" w14:textId="77777777" w:rsidR="00AA3623" w:rsidRPr="00490651" w:rsidRDefault="00F937DF" w:rsidP="00C83E0B">
            <w:pPr>
              <w:spacing w:before="120"/>
              <w:jc w:val="both"/>
              <w:rPr>
                <w:rFonts w:cs="Times New Roman"/>
                <w:lang w:val="en-US"/>
              </w:rPr>
            </w:pPr>
            <w:hyperlink r:id="rId30" w:history="1">
              <w:r w:rsidR="00AA3623" w:rsidRPr="00490651">
                <w:rPr>
                  <w:rStyle w:val="Hyperlink"/>
                  <w:lang w:val="en-US"/>
                </w:rPr>
                <w:t>https://www.rtve.es/noticias/20200310/union-europea-creara-fondo-respuesta-coronavirus-hasta-25000-millones-euros/2008441.shtml</w:t>
              </w:r>
            </w:hyperlink>
          </w:p>
          <w:p w14:paraId="5A4C50B2" w14:textId="77777777" w:rsidR="00AA3623" w:rsidRPr="00490651" w:rsidRDefault="00F937DF" w:rsidP="000011DF">
            <w:pPr>
              <w:rPr>
                <w:lang w:val="en-US"/>
              </w:rPr>
            </w:pPr>
            <w:hyperlink r:id="rId31" w:history="1">
              <w:r w:rsidR="00AA3623" w:rsidRPr="00490651">
                <w:rPr>
                  <w:rStyle w:val="Hyperlink"/>
                  <w:lang w:val="en-US"/>
                </w:rPr>
                <w:t>https://www.rtve.es/noticias/20200310/gobierno-medidas-coronavirus-empleo-pymes/2008200.shtml</w:t>
              </w:r>
            </w:hyperlink>
          </w:p>
          <w:p w14:paraId="3CC0A7E3" w14:textId="77777777" w:rsidR="00AA3623" w:rsidRDefault="00AA3623" w:rsidP="000011DF">
            <w:pPr>
              <w:jc w:val="both"/>
              <w:rPr>
                <w:color w:val="1F497D"/>
                <w:lang w:val="en-US"/>
              </w:rPr>
            </w:pPr>
            <w:r w:rsidRPr="00490651">
              <w:rPr>
                <w:color w:val="1F497D"/>
                <w:lang w:val="en-US"/>
              </w:rPr>
              <w:t>They</w:t>
            </w:r>
            <w:r>
              <w:rPr>
                <w:color w:val="1F497D"/>
                <w:lang w:val="en-US"/>
              </w:rPr>
              <w:t xml:space="preserve"> are internally considering an action plan that in the case of the Spanish Government and related to the guarantee institutions could entail increasing the counter guarantee coverage rate for working capital from the current 50%.  </w:t>
            </w:r>
          </w:p>
          <w:p w14:paraId="45F58688" w14:textId="77777777" w:rsidR="00AA3623" w:rsidRDefault="00AA3623" w:rsidP="000011DF">
            <w:pPr>
              <w:jc w:val="both"/>
              <w:rPr>
                <w:color w:val="1F497D"/>
                <w:lang w:val="en-US"/>
              </w:rPr>
            </w:pPr>
            <w:r>
              <w:rPr>
                <w:color w:val="1F497D"/>
                <w:lang w:val="en-US"/>
              </w:rPr>
              <w:t xml:space="preserve">One more action refers to the extension of the maximum duration of revolving credit lines that is now capped to 3 years for </w:t>
            </w:r>
            <w:proofErr w:type="spellStart"/>
            <w:r>
              <w:rPr>
                <w:color w:val="1F497D"/>
                <w:lang w:val="en-US"/>
              </w:rPr>
              <w:t>InnovFin</w:t>
            </w:r>
            <w:proofErr w:type="spellEnd"/>
            <w:r>
              <w:rPr>
                <w:color w:val="1F497D"/>
                <w:lang w:val="en-US"/>
              </w:rPr>
              <w:t xml:space="preserve"> and 5 years for COSME.  </w:t>
            </w:r>
          </w:p>
          <w:p w14:paraId="7736EBCA" w14:textId="77777777" w:rsidR="00AA3623" w:rsidRPr="00490651" w:rsidRDefault="00AA3623" w:rsidP="000011DF">
            <w:pPr>
              <w:pStyle w:val="PlainText"/>
              <w:jc w:val="both"/>
              <w:rPr>
                <w:rFonts w:ascii="Times New Roman" w:hAnsi="Times New Roman" w:cs="Times New Roman"/>
                <w:color w:val="FF0000"/>
                <w:sz w:val="20"/>
                <w:szCs w:val="20"/>
                <w:lang w:val="es-ES"/>
              </w:rPr>
            </w:pPr>
            <w:r w:rsidRPr="00490651">
              <w:rPr>
                <w:rFonts w:ascii="Times New Roman" w:hAnsi="Times New Roman" w:cs="Times New Roman"/>
                <w:color w:val="FF0000"/>
                <w:sz w:val="20"/>
                <w:szCs w:val="20"/>
                <w:lang w:val="es-ES"/>
              </w:rPr>
              <w:t>Ana Vizcaino</w:t>
            </w:r>
          </w:p>
          <w:p w14:paraId="1100A32A" w14:textId="77777777" w:rsidR="00AA3623" w:rsidRPr="00490651" w:rsidRDefault="00F937DF" w:rsidP="000011DF">
            <w:pPr>
              <w:pStyle w:val="PlainText"/>
              <w:jc w:val="both"/>
              <w:rPr>
                <w:rFonts w:ascii="Times New Roman" w:hAnsi="Times New Roman" w:cs="Times New Roman"/>
                <w:color w:val="FF0000"/>
                <w:sz w:val="20"/>
                <w:szCs w:val="20"/>
                <w:lang w:val="es-ES"/>
              </w:rPr>
            </w:pPr>
            <w:hyperlink r:id="rId32" w:history="1">
              <w:r w:rsidR="00AA3623" w:rsidRPr="00490651">
                <w:rPr>
                  <w:rFonts w:ascii="Times New Roman" w:hAnsi="Times New Roman" w:cs="Times New Roman"/>
                  <w:color w:val="FF0000"/>
                  <w:sz w:val="20"/>
                  <w:szCs w:val="20"/>
                  <w:lang w:val="es-ES"/>
                </w:rPr>
                <w:t>avizcaino@cersa-sme.es</w:t>
              </w:r>
            </w:hyperlink>
          </w:p>
          <w:p w14:paraId="6080429F" w14:textId="77777777" w:rsidR="00AA3623" w:rsidRPr="00490651" w:rsidRDefault="00AA3623" w:rsidP="000011DF">
            <w:pPr>
              <w:pStyle w:val="PlainText"/>
              <w:jc w:val="both"/>
              <w:rPr>
                <w:rFonts w:ascii="Times New Roman" w:hAnsi="Times New Roman" w:cs="Times New Roman"/>
                <w:color w:val="FF0000"/>
                <w:sz w:val="20"/>
                <w:szCs w:val="20"/>
                <w:lang w:val="es-ES"/>
              </w:rPr>
            </w:pPr>
          </w:p>
          <w:p w14:paraId="3388A8BA" w14:textId="77777777" w:rsidR="00AA3623" w:rsidRPr="00E03473" w:rsidRDefault="00AA3623" w:rsidP="000011DF">
            <w:pPr>
              <w:pStyle w:val="PlainText"/>
              <w:jc w:val="both"/>
              <w:rPr>
                <w:rFonts w:ascii="Times New Roman" w:hAnsi="Times New Roman" w:cs="Times New Roman"/>
                <w:color w:val="FF0000"/>
                <w:sz w:val="20"/>
                <w:szCs w:val="20"/>
              </w:rPr>
            </w:pPr>
            <w:r w:rsidRPr="00E03473">
              <w:rPr>
                <w:rFonts w:ascii="Times New Roman" w:hAnsi="Times New Roman" w:cs="Times New Roman"/>
                <w:color w:val="FF0000"/>
                <w:sz w:val="20"/>
                <w:szCs w:val="20"/>
              </w:rPr>
              <w:t>Marta Cea</w:t>
            </w:r>
          </w:p>
          <w:p w14:paraId="1CBDAEAE" w14:textId="77777777" w:rsidR="00AA3623" w:rsidRPr="00A431DD" w:rsidRDefault="00F937DF" w:rsidP="00B05497">
            <w:pPr>
              <w:pStyle w:val="PlainText"/>
              <w:spacing w:after="120"/>
              <w:jc w:val="both"/>
              <w:rPr>
                <w:color w:val="1F497D"/>
                <w:lang w:val="it-IT"/>
              </w:rPr>
            </w:pPr>
            <w:hyperlink r:id="rId33" w:history="1">
              <w:r w:rsidR="00AA3623" w:rsidRPr="00E03473">
                <w:rPr>
                  <w:rFonts w:ascii="Times New Roman" w:hAnsi="Times New Roman" w:cs="Times New Roman"/>
                  <w:color w:val="FF0000"/>
                  <w:sz w:val="20"/>
                  <w:szCs w:val="20"/>
                </w:rPr>
                <w:t>marta@cesgar.es</w:t>
              </w:r>
            </w:hyperlink>
          </w:p>
        </w:tc>
      </w:tr>
      <w:tr w:rsidR="00AA3623" w:rsidRPr="00490651" w14:paraId="3D91C89A" w14:textId="77777777" w:rsidTr="007E0009">
        <w:tc>
          <w:tcPr>
            <w:tcW w:w="2599" w:type="dxa"/>
          </w:tcPr>
          <w:p w14:paraId="282F84A7" w14:textId="77777777" w:rsidR="00AA3623" w:rsidRDefault="00AA3623" w:rsidP="00AA3623">
            <w:pPr>
              <w:pStyle w:val="ListParagraph"/>
              <w:numPr>
                <w:ilvl w:val="0"/>
                <w:numId w:val="13"/>
              </w:numPr>
              <w:spacing w:before="120" w:after="0" w:line="240" w:lineRule="auto"/>
              <w:jc w:val="both"/>
              <w:rPr>
                <w:rFonts w:cs="Times New Roman"/>
                <w:b/>
                <w:sz w:val="24"/>
                <w:szCs w:val="24"/>
                <w:lang w:val="en-US"/>
              </w:rPr>
            </w:pPr>
            <w:r>
              <w:rPr>
                <w:rFonts w:cs="Times New Roman"/>
                <w:b/>
                <w:sz w:val="24"/>
                <w:szCs w:val="24"/>
                <w:lang w:val="en-US"/>
              </w:rPr>
              <w:t>BBB</w:t>
            </w:r>
          </w:p>
          <w:p w14:paraId="4200B7F6" w14:textId="77777777" w:rsidR="00AA3623" w:rsidRDefault="00AA3623" w:rsidP="000011DF">
            <w:pPr>
              <w:pStyle w:val="ListParagraph"/>
              <w:spacing w:before="120" w:after="0" w:line="240" w:lineRule="auto"/>
              <w:jc w:val="both"/>
              <w:rPr>
                <w:rFonts w:cs="Times New Roman"/>
                <w:b/>
                <w:sz w:val="24"/>
                <w:szCs w:val="24"/>
                <w:lang w:val="en-US"/>
              </w:rPr>
            </w:pPr>
            <w:r>
              <w:rPr>
                <w:rFonts w:cs="Times New Roman"/>
                <w:b/>
                <w:sz w:val="24"/>
                <w:szCs w:val="24"/>
                <w:lang w:val="en-US"/>
              </w:rPr>
              <w:t xml:space="preserve">       UK</w:t>
            </w:r>
          </w:p>
        </w:tc>
        <w:tc>
          <w:tcPr>
            <w:tcW w:w="8175" w:type="dxa"/>
          </w:tcPr>
          <w:p w14:paraId="309E222C" w14:textId="77777777" w:rsidR="00AA3623" w:rsidRPr="00490651" w:rsidRDefault="00733600" w:rsidP="00C83E0B">
            <w:pPr>
              <w:spacing w:before="120"/>
              <w:jc w:val="both"/>
              <w:rPr>
                <w:lang w:val="en-US"/>
              </w:rPr>
            </w:pPr>
            <w:hyperlink r:id="rId34" w:history="1">
              <w:r w:rsidR="00AA3623">
                <w:rPr>
                  <w:rStyle w:val="Hyperlink"/>
                </w:rPr>
                <w:t>https://www.british-business-bank.co.uk/ourpartners/supporting-business-loans-enterprise-finance-guarantee/</w:t>
              </w:r>
            </w:hyperlink>
          </w:p>
        </w:tc>
      </w:tr>
    </w:tbl>
    <w:p w14:paraId="1CC994E3" w14:textId="77777777" w:rsidR="00AA3623" w:rsidRDefault="00AA3623" w:rsidP="00AA3623">
      <w:pPr>
        <w:rPr>
          <w:rFonts w:ascii="Tahoma" w:hAnsi="Tahoma" w:cs="Tahoma"/>
          <w:sz w:val="2"/>
          <w:szCs w:val="2"/>
          <w:lang w:val="en-US"/>
        </w:rPr>
      </w:pPr>
    </w:p>
    <w:p w14:paraId="7C61933D" w14:textId="77777777" w:rsidR="00AA3623" w:rsidRDefault="00AA3623" w:rsidP="00AA3623">
      <w:pPr>
        <w:rPr>
          <w:rFonts w:ascii="Tahoma" w:hAnsi="Tahoma" w:cs="Tahoma"/>
          <w:sz w:val="2"/>
          <w:szCs w:val="2"/>
          <w:lang w:val="en-US"/>
        </w:rPr>
      </w:pPr>
    </w:p>
    <w:p w14:paraId="5A4FCB5A" w14:textId="702012A1" w:rsidR="006C7202" w:rsidRDefault="006C7202" w:rsidP="00F868AF">
      <w:pPr>
        <w:spacing w:after="120" w:line="276" w:lineRule="auto"/>
        <w:jc w:val="both"/>
        <w:rPr>
          <w:rFonts w:ascii="Cambria" w:hAnsi="Cambria"/>
          <w:sz w:val="14"/>
          <w:szCs w:val="14"/>
        </w:rPr>
      </w:pPr>
    </w:p>
    <w:p w14:paraId="19779FAE" w14:textId="77777777" w:rsidR="00DD6334" w:rsidRPr="00DD6334" w:rsidRDefault="00DD6334" w:rsidP="00F868AF">
      <w:pPr>
        <w:spacing w:after="120" w:line="276" w:lineRule="auto"/>
        <w:jc w:val="both"/>
        <w:rPr>
          <w:rFonts w:ascii="Cambria" w:hAnsi="Cambria"/>
          <w:sz w:val="14"/>
          <w:szCs w:val="14"/>
        </w:rPr>
      </w:pPr>
    </w:p>
    <w:p w14:paraId="5DD144ED" w14:textId="77777777" w:rsidR="00717925" w:rsidRDefault="00717925">
      <w:pPr>
        <w:rPr>
          <w:rFonts w:ascii="Cambria" w:hAnsi="Cambria" w:cs="Arial"/>
          <w:b/>
          <w:bCs/>
          <w:sz w:val="24"/>
          <w:szCs w:val="24"/>
        </w:rPr>
      </w:pPr>
      <w:r>
        <w:rPr>
          <w:rFonts w:ascii="Cambria" w:hAnsi="Cambria" w:cs="Arial"/>
          <w:b/>
          <w:bCs/>
          <w:sz w:val="24"/>
          <w:szCs w:val="24"/>
        </w:rPr>
        <w:br w:type="page"/>
      </w:r>
    </w:p>
    <w:p w14:paraId="28A0B1F5" w14:textId="77777777" w:rsidR="00717925" w:rsidRPr="00717925" w:rsidRDefault="00717925" w:rsidP="00717925">
      <w:pPr>
        <w:pBdr>
          <w:top w:val="single" w:sz="4" w:space="1" w:color="auto"/>
          <w:left w:val="single" w:sz="4" w:space="4" w:color="auto"/>
          <w:bottom w:val="single" w:sz="4" w:space="1" w:color="auto"/>
          <w:right w:val="single" w:sz="4" w:space="21" w:color="auto"/>
        </w:pBdr>
        <w:spacing w:before="240" w:after="120" w:line="240" w:lineRule="auto"/>
        <w:jc w:val="both"/>
        <w:rPr>
          <w:rFonts w:ascii="Cambria" w:hAnsi="Cambria" w:cs="Arial"/>
          <w:b/>
          <w:bCs/>
          <w:sz w:val="2"/>
          <w:szCs w:val="2"/>
        </w:rPr>
      </w:pPr>
    </w:p>
    <w:p w14:paraId="648F2C0E" w14:textId="5EF64422" w:rsidR="00C15645" w:rsidRPr="00756456" w:rsidRDefault="00C15645" w:rsidP="00717925">
      <w:pPr>
        <w:pBdr>
          <w:top w:val="single" w:sz="4" w:space="1" w:color="auto"/>
          <w:left w:val="single" w:sz="4" w:space="4" w:color="auto"/>
          <w:bottom w:val="single" w:sz="4" w:space="1" w:color="auto"/>
          <w:right w:val="single" w:sz="4" w:space="21" w:color="auto"/>
        </w:pBdr>
        <w:spacing w:before="240" w:after="120" w:line="240" w:lineRule="auto"/>
        <w:jc w:val="both"/>
        <w:rPr>
          <w:rFonts w:ascii="Cambria" w:hAnsi="Cambria" w:cs="Arial"/>
          <w:b/>
          <w:bCs/>
          <w:sz w:val="24"/>
          <w:szCs w:val="24"/>
        </w:rPr>
      </w:pPr>
      <w:r w:rsidRPr="00756456">
        <w:rPr>
          <w:rFonts w:ascii="Cambria" w:hAnsi="Cambria" w:cs="Arial"/>
          <w:b/>
          <w:bCs/>
          <w:sz w:val="24"/>
          <w:szCs w:val="24"/>
        </w:rPr>
        <w:t>About us</w:t>
      </w:r>
    </w:p>
    <w:p w14:paraId="07C44A54" w14:textId="1D358CFC" w:rsidR="00C15645" w:rsidRPr="00717925" w:rsidRDefault="00C15645" w:rsidP="00DD6334">
      <w:pPr>
        <w:pBdr>
          <w:top w:val="single" w:sz="4" w:space="1" w:color="auto"/>
          <w:left w:val="single" w:sz="4" w:space="4" w:color="auto"/>
          <w:bottom w:val="single" w:sz="4" w:space="1" w:color="auto"/>
          <w:right w:val="single" w:sz="4" w:space="21" w:color="auto"/>
        </w:pBdr>
        <w:spacing w:before="120" w:after="120" w:line="276" w:lineRule="auto"/>
        <w:jc w:val="both"/>
        <w:rPr>
          <w:rFonts w:ascii="Cambria" w:hAnsi="Cambria" w:cs="Arial"/>
          <w:sz w:val="24"/>
          <w:szCs w:val="24"/>
        </w:rPr>
      </w:pPr>
      <w:r w:rsidRPr="00717925">
        <w:rPr>
          <w:rFonts w:ascii="Cambria" w:hAnsi="Cambria" w:cs="Arial"/>
          <w:sz w:val="24"/>
          <w:szCs w:val="24"/>
        </w:rPr>
        <w:t xml:space="preserve">The </w:t>
      </w:r>
      <w:r w:rsidR="00466825" w:rsidRPr="00717925">
        <w:rPr>
          <w:rFonts w:ascii="Cambria" w:hAnsi="Cambria" w:cs="Arial"/>
          <w:sz w:val="24"/>
          <w:szCs w:val="24"/>
        </w:rPr>
        <w:t>4</w:t>
      </w:r>
      <w:r w:rsidR="00034BF6" w:rsidRPr="00717925">
        <w:rPr>
          <w:rFonts w:ascii="Cambria" w:hAnsi="Cambria" w:cs="Arial"/>
          <w:sz w:val="24"/>
          <w:szCs w:val="24"/>
        </w:rPr>
        <w:t>8</w:t>
      </w:r>
      <w:r w:rsidR="00466825" w:rsidRPr="00717925">
        <w:rPr>
          <w:rFonts w:ascii="Cambria" w:hAnsi="Cambria" w:cs="Arial"/>
          <w:sz w:val="24"/>
          <w:szCs w:val="24"/>
        </w:rPr>
        <w:t xml:space="preserve"> </w:t>
      </w:r>
      <w:r w:rsidRPr="00717925">
        <w:rPr>
          <w:rFonts w:ascii="Cambria" w:hAnsi="Cambria" w:cs="Arial"/>
          <w:sz w:val="24"/>
          <w:szCs w:val="24"/>
        </w:rPr>
        <w:t xml:space="preserve">members of the </w:t>
      </w:r>
      <w:r w:rsidRPr="00717925">
        <w:rPr>
          <w:rFonts w:ascii="Cambria" w:hAnsi="Cambria" w:cs="Arial"/>
          <w:b/>
          <w:sz w:val="24"/>
          <w:szCs w:val="24"/>
        </w:rPr>
        <w:t>European Association of Guarantee Institutions (AECM)</w:t>
      </w:r>
      <w:r w:rsidRPr="00717925">
        <w:rPr>
          <w:rFonts w:ascii="Cambria" w:hAnsi="Cambria" w:cs="Arial"/>
          <w:sz w:val="24"/>
          <w:szCs w:val="24"/>
        </w:rPr>
        <w:t xml:space="preserve"> are operating in 29 countries in Europe. They are either private sector guarantee schemes or public promotional institutions or banks. Their mission is to support SMEs in getting access to finance. They provide guarantees to SMEs that have an economically sound project but do not dispose of sufficient bankable collateral. AECM’s members operate with counter-guarantees from regional, national and European level. At the end of 2018 AECM’s members had </w:t>
      </w:r>
      <w:r w:rsidR="00CF52A6" w:rsidRPr="00717925">
        <w:rPr>
          <w:rFonts w:ascii="Cambria" w:hAnsi="Cambria" w:cs="Arial"/>
          <w:sz w:val="24"/>
          <w:szCs w:val="24"/>
        </w:rPr>
        <w:t xml:space="preserve">more than </w:t>
      </w:r>
      <w:r w:rsidRPr="00717925">
        <w:rPr>
          <w:rFonts w:ascii="Cambria" w:hAnsi="Cambria" w:cs="Arial"/>
          <w:sz w:val="24"/>
          <w:szCs w:val="24"/>
        </w:rPr>
        <w:t xml:space="preserve">EUR </w:t>
      </w:r>
      <w:r w:rsidR="00CF52A6" w:rsidRPr="00717925">
        <w:rPr>
          <w:rFonts w:ascii="Cambria" w:hAnsi="Cambria" w:cs="Arial"/>
          <w:sz w:val="24"/>
          <w:szCs w:val="24"/>
        </w:rPr>
        <w:t xml:space="preserve">112 </w:t>
      </w:r>
      <w:r w:rsidRPr="00717925">
        <w:rPr>
          <w:rFonts w:ascii="Cambria" w:hAnsi="Cambria" w:cs="Arial"/>
          <w:sz w:val="24"/>
          <w:szCs w:val="24"/>
        </w:rPr>
        <w:t xml:space="preserve">billion of guarantee volume in portfolio, thereby granting guarantees to </w:t>
      </w:r>
      <w:r w:rsidR="00CF52A6" w:rsidRPr="00717925">
        <w:rPr>
          <w:rFonts w:ascii="Cambria" w:hAnsi="Cambria" w:cs="Arial"/>
          <w:sz w:val="24"/>
          <w:szCs w:val="24"/>
        </w:rPr>
        <w:t>almost</w:t>
      </w:r>
      <w:r w:rsidRPr="00717925">
        <w:rPr>
          <w:rFonts w:ascii="Cambria" w:hAnsi="Cambria" w:cs="Arial"/>
          <w:sz w:val="24"/>
          <w:szCs w:val="24"/>
        </w:rPr>
        <w:t xml:space="preserve"> EUR 3 million SMEs. AECM’s members are by far the most important counterparts of the EIF concerning EU counter-guarantees, handling EU guarantees from the very beginning in 1998.</w:t>
      </w:r>
    </w:p>
    <w:p w14:paraId="2A6E70EC" w14:textId="77777777" w:rsidR="00DD6334" w:rsidRPr="00717925" w:rsidRDefault="00DD6334" w:rsidP="00DD6334">
      <w:pPr>
        <w:pBdr>
          <w:top w:val="single" w:sz="4" w:space="1" w:color="auto"/>
          <w:left w:val="single" w:sz="4" w:space="4" w:color="auto"/>
          <w:bottom w:val="single" w:sz="4" w:space="1" w:color="auto"/>
          <w:right w:val="single" w:sz="4" w:space="21" w:color="auto"/>
        </w:pBdr>
        <w:spacing w:before="120" w:after="120" w:line="276" w:lineRule="auto"/>
        <w:jc w:val="both"/>
        <w:rPr>
          <w:rFonts w:ascii="Cambria" w:hAnsi="Cambria" w:cs="Arial"/>
          <w:sz w:val="24"/>
          <w:szCs w:val="24"/>
        </w:rPr>
      </w:pPr>
    </w:p>
    <w:p w14:paraId="6D26AA62" w14:textId="77777777" w:rsidR="00C15645" w:rsidRPr="00717925" w:rsidRDefault="00C15645" w:rsidP="00DD6334">
      <w:pPr>
        <w:pBdr>
          <w:top w:val="single" w:sz="4" w:space="1" w:color="auto"/>
          <w:left w:val="single" w:sz="4" w:space="4" w:color="auto"/>
          <w:bottom w:val="single" w:sz="4" w:space="1" w:color="auto"/>
          <w:right w:val="single" w:sz="4" w:space="21" w:color="auto"/>
        </w:pBdr>
        <w:spacing w:after="0" w:line="276" w:lineRule="auto"/>
        <w:jc w:val="center"/>
        <w:rPr>
          <w:rFonts w:ascii="Cambria" w:hAnsi="Cambria" w:cs="Arial"/>
          <w:color w:val="000000"/>
          <w:sz w:val="24"/>
          <w:szCs w:val="24"/>
        </w:rPr>
      </w:pPr>
      <w:r w:rsidRPr="00717925">
        <w:rPr>
          <w:rFonts w:ascii="Cambria" w:hAnsi="Cambria" w:cs="Arial"/>
          <w:color w:val="000000"/>
          <w:sz w:val="24"/>
          <w:szCs w:val="24"/>
        </w:rPr>
        <w:t>European Association of Guarantee Institutions – AECM</w:t>
      </w:r>
    </w:p>
    <w:p w14:paraId="7F636B48" w14:textId="77777777" w:rsidR="00C15645" w:rsidRPr="00717925" w:rsidRDefault="00C15645" w:rsidP="00DD6334">
      <w:pPr>
        <w:pBdr>
          <w:top w:val="single" w:sz="4" w:space="1" w:color="auto"/>
          <w:left w:val="single" w:sz="4" w:space="4" w:color="auto"/>
          <w:bottom w:val="single" w:sz="4" w:space="1" w:color="auto"/>
          <w:right w:val="single" w:sz="4" w:space="21" w:color="auto"/>
        </w:pBdr>
        <w:spacing w:after="0" w:line="276" w:lineRule="auto"/>
        <w:jc w:val="center"/>
        <w:rPr>
          <w:rFonts w:ascii="Cambria" w:hAnsi="Cambria" w:cs="Arial"/>
          <w:color w:val="000000"/>
          <w:sz w:val="24"/>
          <w:szCs w:val="24"/>
        </w:rPr>
      </w:pPr>
      <w:r w:rsidRPr="00717925">
        <w:rPr>
          <w:rFonts w:ascii="Cambria" w:hAnsi="Cambria" w:cs="Arial"/>
          <w:color w:val="000000"/>
          <w:sz w:val="24"/>
          <w:szCs w:val="24"/>
        </w:rPr>
        <w:t xml:space="preserve">Avenue </w:t>
      </w:r>
      <w:proofErr w:type="spellStart"/>
      <w:r w:rsidRPr="00717925">
        <w:rPr>
          <w:rFonts w:ascii="Cambria" w:hAnsi="Cambria" w:cs="Arial"/>
          <w:color w:val="000000"/>
          <w:sz w:val="24"/>
          <w:szCs w:val="24"/>
        </w:rPr>
        <w:t>d’Auderghem</w:t>
      </w:r>
      <w:proofErr w:type="spellEnd"/>
      <w:r w:rsidRPr="00717925">
        <w:rPr>
          <w:rFonts w:ascii="Cambria" w:hAnsi="Cambria" w:cs="Arial"/>
          <w:color w:val="000000"/>
          <w:sz w:val="24"/>
          <w:szCs w:val="24"/>
        </w:rPr>
        <w:t xml:space="preserve"> 22-28, </w:t>
      </w:r>
      <w:proofErr w:type="spellStart"/>
      <w:r w:rsidRPr="00717925">
        <w:rPr>
          <w:rFonts w:ascii="Cambria" w:hAnsi="Cambria" w:cs="Arial"/>
          <w:color w:val="000000"/>
          <w:sz w:val="24"/>
          <w:szCs w:val="24"/>
        </w:rPr>
        <w:t>bte</w:t>
      </w:r>
      <w:proofErr w:type="spellEnd"/>
      <w:r w:rsidRPr="00717925">
        <w:rPr>
          <w:rFonts w:ascii="Cambria" w:hAnsi="Cambria" w:cs="Arial"/>
          <w:color w:val="000000"/>
          <w:sz w:val="24"/>
          <w:szCs w:val="24"/>
        </w:rPr>
        <w:t>. 10, B-1040 Brussels</w:t>
      </w:r>
    </w:p>
    <w:p w14:paraId="6CE8B6AA" w14:textId="37D7C32B" w:rsidR="00446BED" w:rsidRDefault="00C15645" w:rsidP="00DD6334">
      <w:pPr>
        <w:pBdr>
          <w:top w:val="single" w:sz="4" w:space="1" w:color="auto"/>
          <w:left w:val="single" w:sz="4" w:space="4" w:color="auto"/>
          <w:bottom w:val="single" w:sz="4" w:space="1" w:color="auto"/>
          <w:right w:val="single" w:sz="4" w:space="21" w:color="auto"/>
        </w:pBdr>
        <w:spacing w:after="0" w:line="276" w:lineRule="auto"/>
        <w:jc w:val="center"/>
        <w:rPr>
          <w:rFonts w:ascii="Cambria" w:hAnsi="Cambria" w:cs="Arial"/>
          <w:color w:val="000000"/>
          <w:sz w:val="24"/>
          <w:szCs w:val="24"/>
        </w:rPr>
      </w:pPr>
      <w:r w:rsidRPr="00717925">
        <w:rPr>
          <w:rFonts w:ascii="Cambria" w:hAnsi="Cambria" w:cs="Arial"/>
          <w:color w:val="000000"/>
          <w:sz w:val="24"/>
          <w:szCs w:val="24"/>
        </w:rPr>
        <w:t>Interest Representative Register ID number: 67611102869-33</w:t>
      </w:r>
    </w:p>
    <w:p w14:paraId="6B67272E" w14:textId="77777777" w:rsidR="00717925" w:rsidRPr="00717925" w:rsidRDefault="00717925" w:rsidP="00DD6334">
      <w:pPr>
        <w:pBdr>
          <w:top w:val="single" w:sz="4" w:space="1" w:color="auto"/>
          <w:left w:val="single" w:sz="4" w:space="4" w:color="auto"/>
          <w:bottom w:val="single" w:sz="4" w:space="1" w:color="auto"/>
          <w:right w:val="single" w:sz="4" w:space="21" w:color="auto"/>
        </w:pBdr>
        <w:spacing w:after="0" w:line="276" w:lineRule="auto"/>
        <w:jc w:val="center"/>
        <w:rPr>
          <w:rFonts w:ascii="Cambria" w:hAnsi="Cambria" w:cs="Arial"/>
          <w:color w:val="000000"/>
          <w:sz w:val="24"/>
          <w:szCs w:val="24"/>
        </w:rPr>
      </w:pPr>
    </w:p>
    <w:sectPr w:rsidR="00717925" w:rsidRPr="00717925" w:rsidSect="00F5327D">
      <w:footerReference w:type="default" r:id="rId35"/>
      <w:pgSz w:w="11906" w:h="16838"/>
      <w:pgMar w:top="810" w:right="1417" w:bottom="720" w:left="1417"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119EE" w14:textId="77777777" w:rsidR="00F937DF" w:rsidRDefault="00F937DF" w:rsidP="00DA33F2">
      <w:pPr>
        <w:spacing w:after="0" w:line="240" w:lineRule="auto"/>
      </w:pPr>
      <w:r>
        <w:separator/>
      </w:r>
    </w:p>
  </w:endnote>
  <w:endnote w:type="continuationSeparator" w:id="0">
    <w:p w14:paraId="74F82CC3" w14:textId="77777777" w:rsidR="00F937DF" w:rsidRDefault="00F937DF" w:rsidP="00DA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820688"/>
      <w:docPartObj>
        <w:docPartGallery w:val="Page Numbers (Bottom of Page)"/>
        <w:docPartUnique/>
      </w:docPartObj>
    </w:sdtPr>
    <w:sdtEndPr>
      <w:rPr>
        <w:noProof/>
      </w:rPr>
    </w:sdtEndPr>
    <w:sdtContent>
      <w:p w14:paraId="1B56FD84" w14:textId="3E555533" w:rsidR="00F5327D" w:rsidRDefault="00F532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5C92EA" w14:textId="77777777" w:rsidR="00E93416" w:rsidRDefault="00E93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E75E3" w14:textId="77777777" w:rsidR="00F937DF" w:rsidRDefault="00F937DF" w:rsidP="00DA33F2">
      <w:pPr>
        <w:spacing w:after="0" w:line="240" w:lineRule="auto"/>
      </w:pPr>
      <w:r>
        <w:separator/>
      </w:r>
    </w:p>
  </w:footnote>
  <w:footnote w:type="continuationSeparator" w:id="0">
    <w:p w14:paraId="4474CE10" w14:textId="77777777" w:rsidR="00F937DF" w:rsidRDefault="00F937DF" w:rsidP="00DA3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DA679E8"/>
    <w:lvl w:ilvl="0">
      <w:start w:val="1"/>
      <w:numFmt w:val="decimal"/>
      <w:lvlText w:val="%1."/>
      <w:legacy w:legacy="1" w:legacySpace="0"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D95C6A"/>
    <w:multiLevelType w:val="hybridMultilevel"/>
    <w:tmpl w:val="252A0E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4BE15C4"/>
    <w:multiLevelType w:val="hybridMultilevel"/>
    <w:tmpl w:val="338E3FD0"/>
    <w:lvl w:ilvl="0" w:tplc="A7EA35C6">
      <w:start w:val="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0DF2"/>
    <w:multiLevelType w:val="hybridMultilevel"/>
    <w:tmpl w:val="FF527D5A"/>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ED55F1"/>
    <w:multiLevelType w:val="hybridMultilevel"/>
    <w:tmpl w:val="81DA16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636740"/>
    <w:multiLevelType w:val="hybridMultilevel"/>
    <w:tmpl w:val="7EB6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2577"/>
    <w:multiLevelType w:val="hybridMultilevel"/>
    <w:tmpl w:val="68D4E5C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7E3B7D"/>
    <w:multiLevelType w:val="hybridMultilevel"/>
    <w:tmpl w:val="E57416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6607606"/>
    <w:multiLevelType w:val="hybridMultilevel"/>
    <w:tmpl w:val="418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8289F"/>
    <w:multiLevelType w:val="hybridMultilevel"/>
    <w:tmpl w:val="F7D69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0D791D"/>
    <w:multiLevelType w:val="hybridMultilevel"/>
    <w:tmpl w:val="51DA6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75597"/>
    <w:multiLevelType w:val="hybridMultilevel"/>
    <w:tmpl w:val="971ED1E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2151B73"/>
    <w:multiLevelType w:val="hybridMultilevel"/>
    <w:tmpl w:val="7E88A1C6"/>
    <w:lvl w:ilvl="0" w:tplc="D7B2852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8D7467E"/>
    <w:multiLevelType w:val="hybridMultilevel"/>
    <w:tmpl w:val="1876DDC2"/>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3A841509"/>
    <w:multiLevelType w:val="hybridMultilevel"/>
    <w:tmpl w:val="943EA06A"/>
    <w:lvl w:ilvl="0" w:tplc="E4AAF6B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C513FE9"/>
    <w:multiLevelType w:val="hybridMultilevel"/>
    <w:tmpl w:val="22FC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5219A"/>
    <w:multiLevelType w:val="hybridMultilevel"/>
    <w:tmpl w:val="A38EF3A6"/>
    <w:lvl w:ilvl="0" w:tplc="76122D28">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47752E8"/>
    <w:multiLevelType w:val="hybridMultilevel"/>
    <w:tmpl w:val="C40464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C16173"/>
    <w:multiLevelType w:val="hybridMultilevel"/>
    <w:tmpl w:val="9B989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FF789D"/>
    <w:multiLevelType w:val="hybridMultilevel"/>
    <w:tmpl w:val="03F06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11446F"/>
    <w:multiLevelType w:val="hybridMultilevel"/>
    <w:tmpl w:val="4B4E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972235"/>
    <w:multiLevelType w:val="hybridMultilevel"/>
    <w:tmpl w:val="083AFA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91FFB"/>
    <w:multiLevelType w:val="hybridMultilevel"/>
    <w:tmpl w:val="1B923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443E2"/>
    <w:multiLevelType w:val="hybridMultilevel"/>
    <w:tmpl w:val="5200543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550B62"/>
    <w:multiLevelType w:val="hybridMultilevel"/>
    <w:tmpl w:val="E236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00753F"/>
    <w:multiLevelType w:val="hybridMultilevel"/>
    <w:tmpl w:val="9B0A3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C7D72"/>
    <w:multiLevelType w:val="hybridMultilevel"/>
    <w:tmpl w:val="90D275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4D9689B"/>
    <w:multiLevelType w:val="hybridMultilevel"/>
    <w:tmpl w:val="8FAEA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2727B0"/>
    <w:multiLevelType w:val="hybridMultilevel"/>
    <w:tmpl w:val="10283DC4"/>
    <w:lvl w:ilvl="0" w:tplc="E1B8D1B0">
      <w:start w:val="1"/>
      <w:numFmt w:val="bullet"/>
      <w:lvlText w:val=""/>
      <w:lvlJc w:val="left"/>
      <w:pPr>
        <w:ind w:left="720" w:hanging="360"/>
      </w:pPr>
      <w:rPr>
        <w:rFonts w:ascii="Symbol" w:hAnsi="Symbol" w:hint="default"/>
        <w:strike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E6824D6"/>
    <w:multiLevelType w:val="hybridMultilevel"/>
    <w:tmpl w:val="629A2AB2"/>
    <w:lvl w:ilvl="0" w:tplc="4796AC3E">
      <w:numFmt w:val="bullet"/>
      <w:lvlText w:val=""/>
      <w:lvlJc w:val="left"/>
      <w:pPr>
        <w:ind w:left="720" w:hanging="360"/>
      </w:pPr>
      <w:rPr>
        <w:rFonts w:ascii="Wingdings" w:eastAsiaTheme="minorHAnsi" w:hAnsi="Wingdings" w:cstheme="minorBid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0"/>
  </w:num>
  <w:num w:numId="4">
    <w:abstractNumId w:val="22"/>
  </w:num>
  <w:num w:numId="5">
    <w:abstractNumId w:val="10"/>
  </w:num>
  <w:num w:numId="6">
    <w:abstractNumId w:val="21"/>
  </w:num>
  <w:num w:numId="7">
    <w:abstractNumId w:val="18"/>
  </w:num>
  <w:num w:numId="8">
    <w:abstractNumId w:val="5"/>
  </w:num>
  <w:num w:numId="9">
    <w:abstractNumId w:val="29"/>
  </w:num>
  <w:num w:numId="10">
    <w:abstractNumId w:val="2"/>
  </w:num>
  <w:num w:numId="11">
    <w:abstractNumId w:val="15"/>
  </w:num>
  <w:num w:numId="12">
    <w:abstractNumId w:val="28"/>
  </w:num>
  <w:num w:numId="13">
    <w:abstractNumId w:val="14"/>
  </w:num>
  <w:num w:numId="14">
    <w:abstractNumId w:val="27"/>
  </w:num>
  <w:num w:numId="15">
    <w:abstractNumId w:val="6"/>
  </w:num>
  <w:num w:numId="16">
    <w:abstractNumId w:val="24"/>
  </w:num>
  <w:num w:numId="17">
    <w:abstractNumId w:val="12"/>
  </w:num>
  <w:num w:numId="18">
    <w:abstractNumId w:val="19"/>
  </w:num>
  <w:num w:numId="19">
    <w:abstractNumId w:val="16"/>
  </w:num>
  <w:num w:numId="20">
    <w:abstractNumId w:val="17"/>
  </w:num>
  <w:num w:numId="21">
    <w:abstractNumId w:val="9"/>
  </w:num>
  <w:num w:numId="22">
    <w:abstractNumId w:val="23"/>
  </w:num>
  <w:num w:numId="23">
    <w:abstractNumId w:val="11"/>
  </w:num>
  <w:num w:numId="24">
    <w:abstractNumId w:val="7"/>
  </w:num>
  <w:num w:numId="25">
    <w:abstractNumId w:val="4"/>
  </w:num>
  <w:num w:numId="26">
    <w:abstractNumId w:val="3"/>
  </w:num>
  <w:num w:numId="27">
    <w:abstractNumId w:val="1"/>
  </w:num>
  <w:num w:numId="28">
    <w:abstractNumId w:val="13"/>
  </w:num>
  <w:num w:numId="29">
    <w:abstractNumId w:val="26"/>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52"/>
    <w:rsid w:val="00001460"/>
    <w:rsid w:val="00001AA4"/>
    <w:rsid w:val="00001EB5"/>
    <w:rsid w:val="00011FFA"/>
    <w:rsid w:val="00012146"/>
    <w:rsid w:val="00016B9B"/>
    <w:rsid w:val="000247CF"/>
    <w:rsid w:val="0002640E"/>
    <w:rsid w:val="00027D28"/>
    <w:rsid w:val="000324F7"/>
    <w:rsid w:val="00032B2B"/>
    <w:rsid w:val="00034BF6"/>
    <w:rsid w:val="0004004B"/>
    <w:rsid w:val="000510F8"/>
    <w:rsid w:val="000533A1"/>
    <w:rsid w:val="00054AEC"/>
    <w:rsid w:val="00054FDD"/>
    <w:rsid w:val="00061634"/>
    <w:rsid w:val="0006750D"/>
    <w:rsid w:val="00076759"/>
    <w:rsid w:val="00080101"/>
    <w:rsid w:val="00084192"/>
    <w:rsid w:val="00090AA7"/>
    <w:rsid w:val="00092833"/>
    <w:rsid w:val="00095830"/>
    <w:rsid w:val="00096F71"/>
    <w:rsid w:val="000A36BD"/>
    <w:rsid w:val="000B3A28"/>
    <w:rsid w:val="000B3AF6"/>
    <w:rsid w:val="000B651B"/>
    <w:rsid w:val="000B6620"/>
    <w:rsid w:val="000C1ADF"/>
    <w:rsid w:val="000C2552"/>
    <w:rsid w:val="000C59A2"/>
    <w:rsid w:val="000C619C"/>
    <w:rsid w:val="000D217E"/>
    <w:rsid w:val="000D44A3"/>
    <w:rsid w:val="000D4A9F"/>
    <w:rsid w:val="000D5174"/>
    <w:rsid w:val="000D67CD"/>
    <w:rsid w:val="000E0517"/>
    <w:rsid w:val="000E1987"/>
    <w:rsid w:val="000E3F98"/>
    <w:rsid w:val="000F57CA"/>
    <w:rsid w:val="000F7FF7"/>
    <w:rsid w:val="00110AE9"/>
    <w:rsid w:val="00114836"/>
    <w:rsid w:val="00115CE6"/>
    <w:rsid w:val="00116834"/>
    <w:rsid w:val="0012299A"/>
    <w:rsid w:val="00131C87"/>
    <w:rsid w:val="0013593F"/>
    <w:rsid w:val="00136BC4"/>
    <w:rsid w:val="00142FBC"/>
    <w:rsid w:val="00150A65"/>
    <w:rsid w:val="001516D6"/>
    <w:rsid w:val="00154675"/>
    <w:rsid w:val="00157302"/>
    <w:rsid w:val="00157835"/>
    <w:rsid w:val="00157866"/>
    <w:rsid w:val="001614FA"/>
    <w:rsid w:val="001640A3"/>
    <w:rsid w:val="00166CC1"/>
    <w:rsid w:val="00167176"/>
    <w:rsid w:val="0016746E"/>
    <w:rsid w:val="00176ED1"/>
    <w:rsid w:val="00177123"/>
    <w:rsid w:val="00186B81"/>
    <w:rsid w:val="00192D5B"/>
    <w:rsid w:val="001A43DD"/>
    <w:rsid w:val="001A5F9C"/>
    <w:rsid w:val="001A76C3"/>
    <w:rsid w:val="001B33F1"/>
    <w:rsid w:val="001B474A"/>
    <w:rsid w:val="001B56C7"/>
    <w:rsid w:val="001B7173"/>
    <w:rsid w:val="001B7E68"/>
    <w:rsid w:val="001C1945"/>
    <w:rsid w:val="001C2D2A"/>
    <w:rsid w:val="001C40DC"/>
    <w:rsid w:val="001C6542"/>
    <w:rsid w:val="001C6661"/>
    <w:rsid w:val="001D0C54"/>
    <w:rsid w:val="001D3117"/>
    <w:rsid w:val="001D6C73"/>
    <w:rsid w:val="001E0624"/>
    <w:rsid w:val="001E6FDA"/>
    <w:rsid w:val="001F082F"/>
    <w:rsid w:val="001F1242"/>
    <w:rsid w:val="001F20E6"/>
    <w:rsid w:val="001F7086"/>
    <w:rsid w:val="00203307"/>
    <w:rsid w:val="00205097"/>
    <w:rsid w:val="00207D0C"/>
    <w:rsid w:val="00211B3B"/>
    <w:rsid w:val="002142A3"/>
    <w:rsid w:val="0021763A"/>
    <w:rsid w:val="00225D18"/>
    <w:rsid w:val="00226A53"/>
    <w:rsid w:val="00226EA3"/>
    <w:rsid w:val="0023022E"/>
    <w:rsid w:val="00240A21"/>
    <w:rsid w:val="00250437"/>
    <w:rsid w:val="002526CA"/>
    <w:rsid w:val="002540AF"/>
    <w:rsid w:val="00255059"/>
    <w:rsid w:val="0025763F"/>
    <w:rsid w:val="0026076C"/>
    <w:rsid w:val="002644C0"/>
    <w:rsid w:val="002653CD"/>
    <w:rsid w:val="0026565C"/>
    <w:rsid w:val="00266BB1"/>
    <w:rsid w:val="00281829"/>
    <w:rsid w:val="002873E1"/>
    <w:rsid w:val="00291635"/>
    <w:rsid w:val="002934D7"/>
    <w:rsid w:val="00296936"/>
    <w:rsid w:val="002A1870"/>
    <w:rsid w:val="002A502B"/>
    <w:rsid w:val="002B2D34"/>
    <w:rsid w:val="002B51A8"/>
    <w:rsid w:val="002C0907"/>
    <w:rsid w:val="002C1ED9"/>
    <w:rsid w:val="002C5EA5"/>
    <w:rsid w:val="002C7A47"/>
    <w:rsid w:val="002C7D4D"/>
    <w:rsid w:val="002D0D25"/>
    <w:rsid w:val="002D4A90"/>
    <w:rsid w:val="002D7CB4"/>
    <w:rsid w:val="002E58FC"/>
    <w:rsid w:val="002F0165"/>
    <w:rsid w:val="002F792B"/>
    <w:rsid w:val="0030259F"/>
    <w:rsid w:val="00310077"/>
    <w:rsid w:val="00310135"/>
    <w:rsid w:val="0031097D"/>
    <w:rsid w:val="003209A1"/>
    <w:rsid w:val="00327464"/>
    <w:rsid w:val="0033058C"/>
    <w:rsid w:val="003330E7"/>
    <w:rsid w:val="0033318A"/>
    <w:rsid w:val="00340726"/>
    <w:rsid w:val="0034080E"/>
    <w:rsid w:val="003507B8"/>
    <w:rsid w:val="003558A7"/>
    <w:rsid w:val="00355E5B"/>
    <w:rsid w:val="00356D2D"/>
    <w:rsid w:val="00360539"/>
    <w:rsid w:val="003729EF"/>
    <w:rsid w:val="00375F2E"/>
    <w:rsid w:val="00377DE5"/>
    <w:rsid w:val="00380E5D"/>
    <w:rsid w:val="00381E66"/>
    <w:rsid w:val="003868D6"/>
    <w:rsid w:val="0038732C"/>
    <w:rsid w:val="00393DA6"/>
    <w:rsid w:val="00394CB1"/>
    <w:rsid w:val="003971CF"/>
    <w:rsid w:val="003A2236"/>
    <w:rsid w:val="003A318E"/>
    <w:rsid w:val="003A6920"/>
    <w:rsid w:val="003B29A8"/>
    <w:rsid w:val="003B2B87"/>
    <w:rsid w:val="003B35FB"/>
    <w:rsid w:val="003B3656"/>
    <w:rsid w:val="003C50AB"/>
    <w:rsid w:val="003C542E"/>
    <w:rsid w:val="003D17D2"/>
    <w:rsid w:val="003D5B71"/>
    <w:rsid w:val="003D76B8"/>
    <w:rsid w:val="003D7905"/>
    <w:rsid w:val="003D7F66"/>
    <w:rsid w:val="003E0026"/>
    <w:rsid w:val="003E1080"/>
    <w:rsid w:val="003E1AE3"/>
    <w:rsid w:val="003E7297"/>
    <w:rsid w:val="003E7EC4"/>
    <w:rsid w:val="003F2F73"/>
    <w:rsid w:val="003F4D60"/>
    <w:rsid w:val="003F5E99"/>
    <w:rsid w:val="00401525"/>
    <w:rsid w:val="00410278"/>
    <w:rsid w:val="00412F18"/>
    <w:rsid w:val="00426F5E"/>
    <w:rsid w:val="00441E73"/>
    <w:rsid w:val="00442D2D"/>
    <w:rsid w:val="00443B2D"/>
    <w:rsid w:val="0044637F"/>
    <w:rsid w:val="00446BED"/>
    <w:rsid w:val="00456043"/>
    <w:rsid w:val="0045687C"/>
    <w:rsid w:val="004606B1"/>
    <w:rsid w:val="0046250C"/>
    <w:rsid w:val="0046551D"/>
    <w:rsid w:val="00466825"/>
    <w:rsid w:val="0047190E"/>
    <w:rsid w:val="00475461"/>
    <w:rsid w:val="00475613"/>
    <w:rsid w:val="00475C6C"/>
    <w:rsid w:val="004761A7"/>
    <w:rsid w:val="004771E9"/>
    <w:rsid w:val="00480D87"/>
    <w:rsid w:val="00483AF6"/>
    <w:rsid w:val="0048466D"/>
    <w:rsid w:val="00486AB1"/>
    <w:rsid w:val="004925EC"/>
    <w:rsid w:val="00493E9E"/>
    <w:rsid w:val="004A57EC"/>
    <w:rsid w:val="004B0461"/>
    <w:rsid w:val="004B1646"/>
    <w:rsid w:val="004B74BB"/>
    <w:rsid w:val="004C3D96"/>
    <w:rsid w:val="004C5DF6"/>
    <w:rsid w:val="004D177E"/>
    <w:rsid w:val="004D1A4C"/>
    <w:rsid w:val="004D2738"/>
    <w:rsid w:val="004D5AEE"/>
    <w:rsid w:val="004D7799"/>
    <w:rsid w:val="004E55B2"/>
    <w:rsid w:val="004F0340"/>
    <w:rsid w:val="00500FBF"/>
    <w:rsid w:val="00502BF2"/>
    <w:rsid w:val="00503AE3"/>
    <w:rsid w:val="00511572"/>
    <w:rsid w:val="00513993"/>
    <w:rsid w:val="00521A68"/>
    <w:rsid w:val="00525326"/>
    <w:rsid w:val="0052667F"/>
    <w:rsid w:val="00527518"/>
    <w:rsid w:val="005305FF"/>
    <w:rsid w:val="00531814"/>
    <w:rsid w:val="00542752"/>
    <w:rsid w:val="00543AEA"/>
    <w:rsid w:val="0054480C"/>
    <w:rsid w:val="0054620B"/>
    <w:rsid w:val="0054680F"/>
    <w:rsid w:val="005511A5"/>
    <w:rsid w:val="00557FAE"/>
    <w:rsid w:val="005668DD"/>
    <w:rsid w:val="00567126"/>
    <w:rsid w:val="00571386"/>
    <w:rsid w:val="0057258C"/>
    <w:rsid w:val="00573191"/>
    <w:rsid w:val="00576695"/>
    <w:rsid w:val="00587909"/>
    <w:rsid w:val="005902E5"/>
    <w:rsid w:val="00594046"/>
    <w:rsid w:val="005A2511"/>
    <w:rsid w:val="005A7D9B"/>
    <w:rsid w:val="005B069A"/>
    <w:rsid w:val="005B0E1E"/>
    <w:rsid w:val="005B1A2D"/>
    <w:rsid w:val="005B46EE"/>
    <w:rsid w:val="005B5BAC"/>
    <w:rsid w:val="005E0741"/>
    <w:rsid w:val="005E7410"/>
    <w:rsid w:val="005E7448"/>
    <w:rsid w:val="005F1E20"/>
    <w:rsid w:val="005F4EC8"/>
    <w:rsid w:val="00606404"/>
    <w:rsid w:val="00613310"/>
    <w:rsid w:val="00616DF0"/>
    <w:rsid w:val="00616F36"/>
    <w:rsid w:val="00617F2D"/>
    <w:rsid w:val="006207AD"/>
    <w:rsid w:val="00620961"/>
    <w:rsid w:val="00625EB0"/>
    <w:rsid w:val="006302F1"/>
    <w:rsid w:val="00632C85"/>
    <w:rsid w:val="006348E4"/>
    <w:rsid w:val="006432AF"/>
    <w:rsid w:val="00643574"/>
    <w:rsid w:val="00644B0A"/>
    <w:rsid w:val="0065183C"/>
    <w:rsid w:val="006538A1"/>
    <w:rsid w:val="00653EF6"/>
    <w:rsid w:val="006558A9"/>
    <w:rsid w:val="0066754B"/>
    <w:rsid w:val="006678C4"/>
    <w:rsid w:val="00672360"/>
    <w:rsid w:val="006744C9"/>
    <w:rsid w:val="00676D1F"/>
    <w:rsid w:val="006802C3"/>
    <w:rsid w:val="00680E5E"/>
    <w:rsid w:val="00681763"/>
    <w:rsid w:val="006869BE"/>
    <w:rsid w:val="00692778"/>
    <w:rsid w:val="0069575A"/>
    <w:rsid w:val="006A07B4"/>
    <w:rsid w:val="006A157E"/>
    <w:rsid w:val="006B1BC1"/>
    <w:rsid w:val="006B3E43"/>
    <w:rsid w:val="006B59B1"/>
    <w:rsid w:val="006C047C"/>
    <w:rsid w:val="006C3171"/>
    <w:rsid w:val="006C6678"/>
    <w:rsid w:val="006C7202"/>
    <w:rsid w:val="006C7233"/>
    <w:rsid w:val="006D154E"/>
    <w:rsid w:val="006D57B9"/>
    <w:rsid w:val="006E008F"/>
    <w:rsid w:val="006E1486"/>
    <w:rsid w:val="006E163A"/>
    <w:rsid w:val="006F18AE"/>
    <w:rsid w:val="006F267B"/>
    <w:rsid w:val="00703429"/>
    <w:rsid w:val="00703732"/>
    <w:rsid w:val="00710AA3"/>
    <w:rsid w:val="00716D8D"/>
    <w:rsid w:val="00717925"/>
    <w:rsid w:val="00721FFD"/>
    <w:rsid w:val="00722EAE"/>
    <w:rsid w:val="0072464E"/>
    <w:rsid w:val="00724775"/>
    <w:rsid w:val="00730D62"/>
    <w:rsid w:val="00733600"/>
    <w:rsid w:val="00745C8E"/>
    <w:rsid w:val="0075037F"/>
    <w:rsid w:val="007518EC"/>
    <w:rsid w:val="00755119"/>
    <w:rsid w:val="00756456"/>
    <w:rsid w:val="007610B5"/>
    <w:rsid w:val="007850D4"/>
    <w:rsid w:val="00786F8B"/>
    <w:rsid w:val="00792F8D"/>
    <w:rsid w:val="00795AE1"/>
    <w:rsid w:val="00795E5A"/>
    <w:rsid w:val="007A1369"/>
    <w:rsid w:val="007A1E54"/>
    <w:rsid w:val="007A1F74"/>
    <w:rsid w:val="007A422C"/>
    <w:rsid w:val="007A5B41"/>
    <w:rsid w:val="007A7209"/>
    <w:rsid w:val="007B0B1B"/>
    <w:rsid w:val="007B13C6"/>
    <w:rsid w:val="007B2C00"/>
    <w:rsid w:val="007B54F4"/>
    <w:rsid w:val="007C0FB8"/>
    <w:rsid w:val="007C2E7B"/>
    <w:rsid w:val="007C31D5"/>
    <w:rsid w:val="007D4F07"/>
    <w:rsid w:val="007D6382"/>
    <w:rsid w:val="007D7674"/>
    <w:rsid w:val="007D78CC"/>
    <w:rsid w:val="007E0009"/>
    <w:rsid w:val="007E273E"/>
    <w:rsid w:val="007E444A"/>
    <w:rsid w:val="007E5CA5"/>
    <w:rsid w:val="007F03C9"/>
    <w:rsid w:val="0080036D"/>
    <w:rsid w:val="00806D7E"/>
    <w:rsid w:val="00813EDD"/>
    <w:rsid w:val="008158FE"/>
    <w:rsid w:val="008170F4"/>
    <w:rsid w:val="0082029F"/>
    <w:rsid w:val="008245FC"/>
    <w:rsid w:val="00825A8B"/>
    <w:rsid w:val="00830B63"/>
    <w:rsid w:val="00832042"/>
    <w:rsid w:val="00833DF0"/>
    <w:rsid w:val="00836AA0"/>
    <w:rsid w:val="0083754F"/>
    <w:rsid w:val="00842A4B"/>
    <w:rsid w:val="00842BF7"/>
    <w:rsid w:val="00843677"/>
    <w:rsid w:val="00846728"/>
    <w:rsid w:val="00854D61"/>
    <w:rsid w:val="00855694"/>
    <w:rsid w:val="008562A7"/>
    <w:rsid w:val="0086092D"/>
    <w:rsid w:val="00870A34"/>
    <w:rsid w:val="00873F93"/>
    <w:rsid w:val="00874494"/>
    <w:rsid w:val="00876256"/>
    <w:rsid w:val="00880D30"/>
    <w:rsid w:val="00884C19"/>
    <w:rsid w:val="00886526"/>
    <w:rsid w:val="0088679E"/>
    <w:rsid w:val="00894926"/>
    <w:rsid w:val="00895378"/>
    <w:rsid w:val="008973D4"/>
    <w:rsid w:val="008A1595"/>
    <w:rsid w:val="008A5FB7"/>
    <w:rsid w:val="008A7AFA"/>
    <w:rsid w:val="008B1FF1"/>
    <w:rsid w:val="008B6984"/>
    <w:rsid w:val="008C33EF"/>
    <w:rsid w:val="008C546E"/>
    <w:rsid w:val="008C6235"/>
    <w:rsid w:val="008C6C77"/>
    <w:rsid w:val="008D2EDB"/>
    <w:rsid w:val="008D7BC4"/>
    <w:rsid w:val="008E1DE7"/>
    <w:rsid w:val="008E1DED"/>
    <w:rsid w:val="008E6BCF"/>
    <w:rsid w:val="008E6D19"/>
    <w:rsid w:val="008F0166"/>
    <w:rsid w:val="008F3319"/>
    <w:rsid w:val="008F5E49"/>
    <w:rsid w:val="0090025F"/>
    <w:rsid w:val="0090192F"/>
    <w:rsid w:val="009023E3"/>
    <w:rsid w:val="00906121"/>
    <w:rsid w:val="00910927"/>
    <w:rsid w:val="00913CD6"/>
    <w:rsid w:val="00915620"/>
    <w:rsid w:val="00925BC2"/>
    <w:rsid w:val="009262B1"/>
    <w:rsid w:val="009263F8"/>
    <w:rsid w:val="00927B27"/>
    <w:rsid w:val="00930B23"/>
    <w:rsid w:val="00930D9F"/>
    <w:rsid w:val="00931DC0"/>
    <w:rsid w:val="0094206F"/>
    <w:rsid w:val="009430E4"/>
    <w:rsid w:val="009469FA"/>
    <w:rsid w:val="00946C0D"/>
    <w:rsid w:val="00947327"/>
    <w:rsid w:val="009546CB"/>
    <w:rsid w:val="00956BF0"/>
    <w:rsid w:val="00961C9F"/>
    <w:rsid w:val="00964251"/>
    <w:rsid w:val="009663B8"/>
    <w:rsid w:val="00980732"/>
    <w:rsid w:val="00985350"/>
    <w:rsid w:val="00990935"/>
    <w:rsid w:val="009A1B4D"/>
    <w:rsid w:val="009A1C58"/>
    <w:rsid w:val="009A2AE4"/>
    <w:rsid w:val="009A4371"/>
    <w:rsid w:val="009A6861"/>
    <w:rsid w:val="009A7275"/>
    <w:rsid w:val="009B1519"/>
    <w:rsid w:val="009B3B4C"/>
    <w:rsid w:val="009B56AB"/>
    <w:rsid w:val="009C45C4"/>
    <w:rsid w:val="009C60B1"/>
    <w:rsid w:val="009D068E"/>
    <w:rsid w:val="009D1150"/>
    <w:rsid w:val="009D2D76"/>
    <w:rsid w:val="009D74E2"/>
    <w:rsid w:val="009E160C"/>
    <w:rsid w:val="009E2839"/>
    <w:rsid w:val="009E32F7"/>
    <w:rsid w:val="009E35F2"/>
    <w:rsid w:val="009E3E1F"/>
    <w:rsid w:val="009E4748"/>
    <w:rsid w:val="009E4AA1"/>
    <w:rsid w:val="009E54BA"/>
    <w:rsid w:val="009E5979"/>
    <w:rsid w:val="009E69C1"/>
    <w:rsid w:val="009E7C82"/>
    <w:rsid w:val="009F05D5"/>
    <w:rsid w:val="009F0C12"/>
    <w:rsid w:val="009F3774"/>
    <w:rsid w:val="009F4318"/>
    <w:rsid w:val="009F7B2C"/>
    <w:rsid w:val="009F7B3A"/>
    <w:rsid w:val="00A04D92"/>
    <w:rsid w:val="00A04DA7"/>
    <w:rsid w:val="00A05A16"/>
    <w:rsid w:val="00A12704"/>
    <w:rsid w:val="00A13D26"/>
    <w:rsid w:val="00A14111"/>
    <w:rsid w:val="00A159B9"/>
    <w:rsid w:val="00A206E3"/>
    <w:rsid w:val="00A21F72"/>
    <w:rsid w:val="00A26009"/>
    <w:rsid w:val="00A2708C"/>
    <w:rsid w:val="00A42530"/>
    <w:rsid w:val="00A42C4D"/>
    <w:rsid w:val="00A42D02"/>
    <w:rsid w:val="00A45381"/>
    <w:rsid w:val="00A460E9"/>
    <w:rsid w:val="00A47CE0"/>
    <w:rsid w:val="00A52E04"/>
    <w:rsid w:val="00A5344C"/>
    <w:rsid w:val="00A55462"/>
    <w:rsid w:val="00A563A1"/>
    <w:rsid w:val="00A614A5"/>
    <w:rsid w:val="00A718C3"/>
    <w:rsid w:val="00A72807"/>
    <w:rsid w:val="00A73070"/>
    <w:rsid w:val="00A739A7"/>
    <w:rsid w:val="00A77F40"/>
    <w:rsid w:val="00A8411F"/>
    <w:rsid w:val="00A84E0B"/>
    <w:rsid w:val="00A96F7C"/>
    <w:rsid w:val="00AA2809"/>
    <w:rsid w:val="00AA3623"/>
    <w:rsid w:val="00AA4D27"/>
    <w:rsid w:val="00AA57A1"/>
    <w:rsid w:val="00AA5A52"/>
    <w:rsid w:val="00AA6103"/>
    <w:rsid w:val="00AA678B"/>
    <w:rsid w:val="00AA6891"/>
    <w:rsid w:val="00AA72A0"/>
    <w:rsid w:val="00AA793D"/>
    <w:rsid w:val="00AB379D"/>
    <w:rsid w:val="00AB74FB"/>
    <w:rsid w:val="00AC35AB"/>
    <w:rsid w:val="00AC61F2"/>
    <w:rsid w:val="00AD0603"/>
    <w:rsid w:val="00AE13CF"/>
    <w:rsid w:val="00AE3221"/>
    <w:rsid w:val="00AE4142"/>
    <w:rsid w:val="00AF28DC"/>
    <w:rsid w:val="00AF429E"/>
    <w:rsid w:val="00B00FD6"/>
    <w:rsid w:val="00B03B07"/>
    <w:rsid w:val="00B05497"/>
    <w:rsid w:val="00B07143"/>
    <w:rsid w:val="00B1016B"/>
    <w:rsid w:val="00B1153C"/>
    <w:rsid w:val="00B1561D"/>
    <w:rsid w:val="00B15908"/>
    <w:rsid w:val="00B20C91"/>
    <w:rsid w:val="00B20D2A"/>
    <w:rsid w:val="00B23A1A"/>
    <w:rsid w:val="00B26752"/>
    <w:rsid w:val="00B2765D"/>
    <w:rsid w:val="00B27A14"/>
    <w:rsid w:val="00B27EFC"/>
    <w:rsid w:val="00B32D20"/>
    <w:rsid w:val="00B332AD"/>
    <w:rsid w:val="00B3408B"/>
    <w:rsid w:val="00B357DC"/>
    <w:rsid w:val="00B434D4"/>
    <w:rsid w:val="00B46112"/>
    <w:rsid w:val="00B46BD7"/>
    <w:rsid w:val="00B52AE8"/>
    <w:rsid w:val="00B5635C"/>
    <w:rsid w:val="00B56E01"/>
    <w:rsid w:val="00B62B95"/>
    <w:rsid w:val="00B65006"/>
    <w:rsid w:val="00B66383"/>
    <w:rsid w:val="00B70664"/>
    <w:rsid w:val="00B72D20"/>
    <w:rsid w:val="00B72E1D"/>
    <w:rsid w:val="00B7532D"/>
    <w:rsid w:val="00B75A8E"/>
    <w:rsid w:val="00B7711B"/>
    <w:rsid w:val="00B82DE8"/>
    <w:rsid w:val="00B852BD"/>
    <w:rsid w:val="00B87198"/>
    <w:rsid w:val="00B90D15"/>
    <w:rsid w:val="00B9379F"/>
    <w:rsid w:val="00B95819"/>
    <w:rsid w:val="00B95B4D"/>
    <w:rsid w:val="00BA0D8D"/>
    <w:rsid w:val="00BA5421"/>
    <w:rsid w:val="00BB0E7C"/>
    <w:rsid w:val="00BB26DA"/>
    <w:rsid w:val="00BB36FF"/>
    <w:rsid w:val="00BB702A"/>
    <w:rsid w:val="00BB74D8"/>
    <w:rsid w:val="00BC4149"/>
    <w:rsid w:val="00BC48D4"/>
    <w:rsid w:val="00BD0418"/>
    <w:rsid w:val="00BD23B7"/>
    <w:rsid w:val="00BE004E"/>
    <w:rsid w:val="00BE48F9"/>
    <w:rsid w:val="00BE5C09"/>
    <w:rsid w:val="00BE699B"/>
    <w:rsid w:val="00BF0DC0"/>
    <w:rsid w:val="00BF18F5"/>
    <w:rsid w:val="00BF66CE"/>
    <w:rsid w:val="00C0042E"/>
    <w:rsid w:val="00C01947"/>
    <w:rsid w:val="00C02761"/>
    <w:rsid w:val="00C0524C"/>
    <w:rsid w:val="00C070F7"/>
    <w:rsid w:val="00C13BF1"/>
    <w:rsid w:val="00C14BA6"/>
    <w:rsid w:val="00C14BE3"/>
    <w:rsid w:val="00C14BED"/>
    <w:rsid w:val="00C15645"/>
    <w:rsid w:val="00C1636E"/>
    <w:rsid w:val="00C176B2"/>
    <w:rsid w:val="00C20482"/>
    <w:rsid w:val="00C259D2"/>
    <w:rsid w:val="00C27430"/>
    <w:rsid w:val="00C309DA"/>
    <w:rsid w:val="00C31B9E"/>
    <w:rsid w:val="00C368CC"/>
    <w:rsid w:val="00C41304"/>
    <w:rsid w:val="00C42766"/>
    <w:rsid w:val="00C53D0E"/>
    <w:rsid w:val="00C543E2"/>
    <w:rsid w:val="00C61810"/>
    <w:rsid w:val="00C61A48"/>
    <w:rsid w:val="00C62726"/>
    <w:rsid w:val="00C74BCF"/>
    <w:rsid w:val="00C83E0B"/>
    <w:rsid w:val="00C84997"/>
    <w:rsid w:val="00C87663"/>
    <w:rsid w:val="00C93519"/>
    <w:rsid w:val="00C94F19"/>
    <w:rsid w:val="00C97EDF"/>
    <w:rsid w:val="00CA0D24"/>
    <w:rsid w:val="00CA1A91"/>
    <w:rsid w:val="00CA67E6"/>
    <w:rsid w:val="00CB171D"/>
    <w:rsid w:val="00CB692B"/>
    <w:rsid w:val="00CB7830"/>
    <w:rsid w:val="00CC0904"/>
    <w:rsid w:val="00CC5BC1"/>
    <w:rsid w:val="00CC7049"/>
    <w:rsid w:val="00CC7E56"/>
    <w:rsid w:val="00CD11EE"/>
    <w:rsid w:val="00CD12EA"/>
    <w:rsid w:val="00CD4D93"/>
    <w:rsid w:val="00CD62EA"/>
    <w:rsid w:val="00CE16B8"/>
    <w:rsid w:val="00CE243B"/>
    <w:rsid w:val="00CE27B8"/>
    <w:rsid w:val="00CE464E"/>
    <w:rsid w:val="00CF2F91"/>
    <w:rsid w:val="00CF3AA0"/>
    <w:rsid w:val="00CF52A6"/>
    <w:rsid w:val="00CF6D59"/>
    <w:rsid w:val="00CF73C4"/>
    <w:rsid w:val="00CF77E7"/>
    <w:rsid w:val="00D01187"/>
    <w:rsid w:val="00D06A22"/>
    <w:rsid w:val="00D07469"/>
    <w:rsid w:val="00D11EA4"/>
    <w:rsid w:val="00D13420"/>
    <w:rsid w:val="00D15005"/>
    <w:rsid w:val="00D2463A"/>
    <w:rsid w:val="00D319C8"/>
    <w:rsid w:val="00D3436A"/>
    <w:rsid w:val="00D4078E"/>
    <w:rsid w:val="00D41D3A"/>
    <w:rsid w:val="00D41F21"/>
    <w:rsid w:val="00D429A7"/>
    <w:rsid w:val="00D42B0F"/>
    <w:rsid w:val="00D43471"/>
    <w:rsid w:val="00D443A5"/>
    <w:rsid w:val="00D44761"/>
    <w:rsid w:val="00D463F6"/>
    <w:rsid w:val="00D46E82"/>
    <w:rsid w:val="00D50F2A"/>
    <w:rsid w:val="00D525A5"/>
    <w:rsid w:val="00D54310"/>
    <w:rsid w:val="00D57B5E"/>
    <w:rsid w:val="00D62A29"/>
    <w:rsid w:val="00D6607F"/>
    <w:rsid w:val="00D666E6"/>
    <w:rsid w:val="00D674A2"/>
    <w:rsid w:val="00D710E0"/>
    <w:rsid w:val="00D71921"/>
    <w:rsid w:val="00D7371D"/>
    <w:rsid w:val="00D74FE9"/>
    <w:rsid w:val="00D7774B"/>
    <w:rsid w:val="00D86BD9"/>
    <w:rsid w:val="00D924A5"/>
    <w:rsid w:val="00D924E2"/>
    <w:rsid w:val="00D92890"/>
    <w:rsid w:val="00D96B41"/>
    <w:rsid w:val="00D96B48"/>
    <w:rsid w:val="00DA1D7C"/>
    <w:rsid w:val="00DA33F2"/>
    <w:rsid w:val="00DA476B"/>
    <w:rsid w:val="00DA7DC2"/>
    <w:rsid w:val="00DB0563"/>
    <w:rsid w:val="00DB1E5E"/>
    <w:rsid w:val="00DB2781"/>
    <w:rsid w:val="00DB3FCA"/>
    <w:rsid w:val="00DB6B9E"/>
    <w:rsid w:val="00DB7175"/>
    <w:rsid w:val="00DB7ACB"/>
    <w:rsid w:val="00DC2A21"/>
    <w:rsid w:val="00DC2D65"/>
    <w:rsid w:val="00DC2F18"/>
    <w:rsid w:val="00DC546C"/>
    <w:rsid w:val="00DD20D8"/>
    <w:rsid w:val="00DD2B57"/>
    <w:rsid w:val="00DD3CAB"/>
    <w:rsid w:val="00DD4E0D"/>
    <w:rsid w:val="00DD6334"/>
    <w:rsid w:val="00DE0A78"/>
    <w:rsid w:val="00DE6CEC"/>
    <w:rsid w:val="00DF2459"/>
    <w:rsid w:val="00DF394A"/>
    <w:rsid w:val="00DF3960"/>
    <w:rsid w:val="00DF3F9C"/>
    <w:rsid w:val="00E01811"/>
    <w:rsid w:val="00E063B4"/>
    <w:rsid w:val="00E071CE"/>
    <w:rsid w:val="00E10262"/>
    <w:rsid w:val="00E25D4A"/>
    <w:rsid w:val="00E31513"/>
    <w:rsid w:val="00E324AF"/>
    <w:rsid w:val="00E36AFB"/>
    <w:rsid w:val="00E408C9"/>
    <w:rsid w:val="00E40C2F"/>
    <w:rsid w:val="00E42828"/>
    <w:rsid w:val="00E44861"/>
    <w:rsid w:val="00E4694F"/>
    <w:rsid w:val="00E50000"/>
    <w:rsid w:val="00E56ECD"/>
    <w:rsid w:val="00E62D5E"/>
    <w:rsid w:val="00E6434D"/>
    <w:rsid w:val="00E65B42"/>
    <w:rsid w:val="00E66BBF"/>
    <w:rsid w:val="00E70CD8"/>
    <w:rsid w:val="00E716BD"/>
    <w:rsid w:val="00E71DC8"/>
    <w:rsid w:val="00E85637"/>
    <w:rsid w:val="00E85F29"/>
    <w:rsid w:val="00E92FA3"/>
    <w:rsid w:val="00E93416"/>
    <w:rsid w:val="00EA0AC7"/>
    <w:rsid w:val="00EA22CB"/>
    <w:rsid w:val="00EA474A"/>
    <w:rsid w:val="00EA79DD"/>
    <w:rsid w:val="00EB080C"/>
    <w:rsid w:val="00EB223D"/>
    <w:rsid w:val="00EB3EB1"/>
    <w:rsid w:val="00EB615A"/>
    <w:rsid w:val="00EB6764"/>
    <w:rsid w:val="00EB7EFF"/>
    <w:rsid w:val="00EC43C4"/>
    <w:rsid w:val="00EC53BB"/>
    <w:rsid w:val="00ED0AFD"/>
    <w:rsid w:val="00ED2FAC"/>
    <w:rsid w:val="00ED3CFD"/>
    <w:rsid w:val="00ED795C"/>
    <w:rsid w:val="00ED7ED3"/>
    <w:rsid w:val="00EE15E2"/>
    <w:rsid w:val="00EE1A6D"/>
    <w:rsid w:val="00EE2407"/>
    <w:rsid w:val="00EE4BE1"/>
    <w:rsid w:val="00EF2DBE"/>
    <w:rsid w:val="00F01AA1"/>
    <w:rsid w:val="00F01EF4"/>
    <w:rsid w:val="00F03BC6"/>
    <w:rsid w:val="00F075B5"/>
    <w:rsid w:val="00F11F8F"/>
    <w:rsid w:val="00F12B8D"/>
    <w:rsid w:val="00F15669"/>
    <w:rsid w:val="00F20D6E"/>
    <w:rsid w:val="00F21007"/>
    <w:rsid w:val="00F228EF"/>
    <w:rsid w:val="00F2691E"/>
    <w:rsid w:val="00F313F0"/>
    <w:rsid w:val="00F405DB"/>
    <w:rsid w:val="00F409C8"/>
    <w:rsid w:val="00F413E7"/>
    <w:rsid w:val="00F448DC"/>
    <w:rsid w:val="00F456C0"/>
    <w:rsid w:val="00F47652"/>
    <w:rsid w:val="00F509E8"/>
    <w:rsid w:val="00F51962"/>
    <w:rsid w:val="00F53147"/>
    <w:rsid w:val="00F5327D"/>
    <w:rsid w:val="00F53DFE"/>
    <w:rsid w:val="00F556B3"/>
    <w:rsid w:val="00F561DC"/>
    <w:rsid w:val="00F561EC"/>
    <w:rsid w:val="00F70004"/>
    <w:rsid w:val="00F724E9"/>
    <w:rsid w:val="00F73EDF"/>
    <w:rsid w:val="00F8119D"/>
    <w:rsid w:val="00F829BD"/>
    <w:rsid w:val="00F83EBF"/>
    <w:rsid w:val="00F84699"/>
    <w:rsid w:val="00F84E0A"/>
    <w:rsid w:val="00F85E1F"/>
    <w:rsid w:val="00F86129"/>
    <w:rsid w:val="00F868AF"/>
    <w:rsid w:val="00F9004A"/>
    <w:rsid w:val="00F937DF"/>
    <w:rsid w:val="00F9744E"/>
    <w:rsid w:val="00FA1028"/>
    <w:rsid w:val="00FA150D"/>
    <w:rsid w:val="00FB48FB"/>
    <w:rsid w:val="00FB499D"/>
    <w:rsid w:val="00FB6F28"/>
    <w:rsid w:val="00FB7C73"/>
    <w:rsid w:val="00FC2368"/>
    <w:rsid w:val="00FC3686"/>
    <w:rsid w:val="00FC3D6E"/>
    <w:rsid w:val="00FC46B0"/>
    <w:rsid w:val="00FC640F"/>
    <w:rsid w:val="00FD0E2D"/>
    <w:rsid w:val="00FD3EBC"/>
    <w:rsid w:val="00FD54A7"/>
    <w:rsid w:val="00FD7683"/>
    <w:rsid w:val="00FD76A9"/>
    <w:rsid w:val="00FE25AB"/>
    <w:rsid w:val="00FE4015"/>
    <w:rsid w:val="00FE459A"/>
    <w:rsid w:val="00FE6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A708"/>
  <w15:chartTrackingRefBased/>
  <w15:docId w15:val="{C4395CE8-686E-4DB5-947A-2EDE0076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24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B3A28"/>
    <w:pPr>
      <w:spacing w:after="0" w:line="288" w:lineRule="auto"/>
      <w:ind w:left="567" w:hanging="567"/>
      <w:jc w:val="both"/>
      <w:outlineLvl w:val="1"/>
    </w:pPr>
    <w:rPr>
      <w:rFonts w:ascii="Times New Roman" w:eastAsia="Times New Roman" w:hAnsi="Times New Roman" w:cs="Times New Roman"/>
    </w:rPr>
  </w:style>
  <w:style w:type="paragraph" w:styleId="Heading3">
    <w:name w:val="heading 3"/>
    <w:basedOn w:val="Normal"/>
    <w:next w:val="Normal"/>
    <w:link w:val="Heading3Char"/>
    <w:qFormat/>
    <w:rsid w:val="000B3A28"/>
    <w:pPr>
      <w:spacing w:after="0" w:line="288" w:lineRule="auto"/>
      <w:ind w:left="567" w:hanging="567"/>
      <w:jc w:val="both"/>
      <w:outlineLvl w:val="2"/>
    </w:pPr>
    <w:rPr>
      <w:rFonts w:ascii="Times New Roman" w:eastAsia="Times New Roman" w:hAnsi="Times New Roman" w:cs="Times New Roman"/>
    </w:rPr>
  </w:style>
  <w:style w:type="paragraph" w:styleId="Heading4">
    <w:name w:val="heading 4"/>
    <w:basedOn w:val="Normal"/>
    <w:next w:val="Normal"/>
    <w:link w:val="Heading4Char"/>
    <w:qFormat/>
    <w:rsid w:val="000B3A28"/>
    <w:pPr>
      <w:spacing w:after="0" w:line="288" w:lineRule="auto"/>
      <w:ind w:left="567" w:hanging="567"/>
      <w:jc w:val="both"/>
      <w:outlineLvl w:val="3"/>
    </w:pPr>
    <w:rPr>
      <w:rFonts w:ascii="Times New Roman" w:eastAsia="Times New Roman" w:hAnsi="Times New Roman" w:cs="Times New Roman"/>
    </w:rPr>
  </w:style>
  <w:style w:type="paragraph" w:styleId="Heading5">
    <w:name w:val="heading 5"/>
    <w:basedOn w:val="Normal"/>
    <w:next w:val="Normal"/>
    <w:link w:val="Heading5Char"/>
    <w:qFormat/>
    <w:rsid w:val="000B3A28"/>
    <w:pPr>
      <w:spacing w:after="0" w:line="288" w:lineRule="auto"/>
      <w:ind w:left="567" w:hanging="567"/>
      <w:jc w:val="both"/>
      <w:outlineLvl w:val="4"/>
    </w:pPr>
    <w:rPr>
      <w:rFonts w:ascii="Times New Roman" w:eastAsia="Times New Roman" w:hAnsi="Times New Roman" w:cs="Times New Roman"/>
    </w:rPr>
  </w:style>
  <w:style w:type="paragraph" w:styleId="Heading6">
    <w:name w:val="heading 6"/>
    <w:basedOn w:val="Normal"/>
    <w:next w:val="Normal"/>
    <w:link w:val="Heading6Char"/>
    <w:qFormat/>
    <w:rsid w:val="000B3A28"/>
    <w:pPr>
      <w:spacing w:after="0" w:line="288" w:lineRule="auto"/>
      <w:ind w:left="567" w:hanging="567"/>
      <w:jc w:val="both"/>
      <w:outlineLvl w:val="5"/>
    </w:pPr>
    <w:rPr>
      <w:rFonts w:ascii="Times New Roman" w:eastAsia="Times New Roman" w:hAnsi="Times New Roman" w:cs="Times New Roman"/>
    </w:rPr>
  </w:style>
  <w:style w:type="paragraph" w:styleId="Heading7">
    <w:name w:val="heading 7"/>
    <w:basedOn w:val="Normal"/>
    <w:next w:val="Normal"/>
    <w:link w:val="Heading7Char"/>
    <w:qFormat/>
    <w:rsid w:val="000B3A28"/>
    <w:pPr>
      <w:spacing w:after="0" w:line="288" w:lineRule="auto"/>
      <w:ind w:left="567" w:hanging="567"/>
      <w:jc w:val="both"/>
      <w:outlineLvl w:val="6"/>
    </w:pPr>
    <w:rPr>
      <w:rFonts w:ascii="Times New Roman" w:eastAsia="Times New Roman" w:hAnsi="Times New Roman" w:cs="Times New Roman"/>
    </w:rPr>
  </w:style>
  <w:style w:type="paragraph" w:styleId="Heading8">
    <w:name w:val="heading 8"/>
    <w:basedOn w:val="Normal"/>
    <w:next w:val="Normal"/>
    <w:link w:val="Heading8Char"/>
    <w:qFormat/>
    <w:rsid w:val="000B3A28"/>
    <w:pPr>
      <w:spacing w:after="0" w:line="288" w:lineRule="auto"/>
      <w:ind w:left="567" w:hanging="567"/>
      <w:jc w:val="both"/>
      <w:outlineLvl w:val="7"/>
    </w:pPr>
    <w:rPr>
      <w:rFonts w:ascii="Times New Roman" w:eastAsia="Times New Roman" w:hAnsi="Times New Roman" w:cs="Times New Roman"/>
    </w:rPr>
  </w:style>
  <w:style w:type="paragraph" w:styleId="Heading9">
    <w:name w:val="heading 9"/>
    <w:basedOn w:val="Normal"/>
    <w:next w:val="Normal"/>
    <w:link w:val="Heading9Char"/>
    <w:qFormat/>
    <w:rsid w:val="000B3A28"/>
    <w:pPr>
      <w:spacing w:after="0" w:line="288" w:lineRule="auto"/>
      <w:ind w:left="567" w:hanging="567"/>
      <w:jc w:val="both"/>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D3A"/>
    <w:rPr>
      <w:color w:val="0000FF"/>
      <w:u w:val="single"/>
    </w:rPr>
  </w:style>
  <w:style w:type="paragraph" w:styleId="FootnoteText">
    <w:name w:val="footnote text"/>
    <w:basedOn w:val="Normal"/>
    <w:link w:val="FootnoteTextChar"/>
    <w:uiPriority w:val="99"/>
    <w:semiHidden/>
    <w:unhideWhenUsed/>
    <w:rsid w:val="00DA3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3F2"/>
    <w:rPr>
      <w:sz w:val="20"/>
      <w:szCs w:val="20"/>
    </w:rPr>
  </w:style>
  <w:style w:type="character" w:styleId="FootnoteReference">
    <w:name w:val="footnote reference"/>
    <w:basedOn w:val="DefaultParagraphFont"/>
    <w:uiPriority w:val="99"/>
    <w:semiHidden/>
    <w:unhideWhenUsed/>
    <w:rsid w:val="00DA33F2"/>
    <w:rPr>
      <w:vertAlign w:val="superscript"/>
    </w:rPr>
  </w:style>
  <w:style w:type="paragraph" w:styleId="ListParagraph">
    <w:name w:val="List Paragraph"/>
    <w:basedOn w:val="Normal"/>
    <w:uiPriority w:val="34"/>
    <w:qFormat/>
    <w:rsid w:val="00B46112"/>
    <w:pPr>
      <w:ind w:left="720"/>
      <w:contextualSpacing/>
    </w:pPr>
  </w:style>
  <w:style w:type="character" w:customStyle="1" w:styleId="fontstyle01">
    <w:name w:val="fontstyle01"/>
    <w:basedOn w:val="DefaultParagraphFont"/>
    <w:rsid w:val="00606404"/>
    <w:rPr>
      <w:rFonts w:ascii="Arial" w:hAnsi="Arial" w:cs="Arial" w:hint="default"/>
      <w:b w:val="0"/>
      <w:bCs w:val="0"/>
      <w:i w:val="0"/>
      <w:iCs w:val="0"/>
      <w:color w:val="000000"/>
      <w:sz w:val="16"/>
      <w:szCs w:val="16"/>
    </w:rPr>
  </w:style>
  <w:style w:type="character" w:customStyle="1" w:styleId="fontstyle21">
    <w:name w:val="fontstyle21"/>
    <w:basedOn w:val="DefaultParagraphFont"/>
    <w:rsid w:val="00606404"/>
    <w:rPr>
      <w:rFonts w:ascii="Arial" w:hAnsi="Arial" w:cs="Arial" w:hint="default"/>
      <w:b/>
      <w:bCs/>
      <w:i w:val="0"/>
      <w:iCs w:val="0"/>
      <w:color w:val="000000"/>
      <w:sz w:val="16"/>
      <w:szCs w:val="16"/>
    </w:rPr>
  </w:style>
  <w:style w:type="character" w:customStyle="1" w:styleId="UnresolvedMention1">
    <w:name w:val="Unresolved Mention1"/>
    <w:basedOn w:val="DefaultParagraphFont"/>
    <w:uiPriority w:val="99"/>
    <w:semiHidden/>
    <w:unhideWhenUsed/>
    <w:rsid w:val="00CA1A91"/>
    <w:rPr>
      <w:color w:val="605E5C"/>
      <w:shd w:val="clear" w:color="auto" w:fill="E1DFDD"/>
    </w:rPr>
  </w:style>
  <w:style w:type="paragraph" w:styleId="BalloonText">
    <w:name w:val="Balloon Text"/>
    <w:basedOn w:val="Normal"/>
    <w:link w:val="BalloonTextChar"/>
    <w:uiPriority w:val="99"/>
    <w:semiHidden/>
    <w:unhideWhenUsed/>
    <w:rsid w:val="00DF3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60"/>
    <w:rPr>
      <w:rFonts w:ascii="Segoe UI" w:hAnsi="Segoe UI" w:cs="Segoe UI"/>
      <w:sz w:val="18"/>
      <w:szCs w:val="18"/>
    </w:rPr>
  </w:style>
  <w:style w:type="paragraph" w:styleId="NormalWeb">
    <w:name w:val="Normal (Web)"/>
    <w:basedOn w:val="Normal"/>
    <w:uiPriority w:val="99"/>
    <w:unhideWhenUsed/>
    <w:rsid w:val="000C59A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sid w:val="000C59A2"/>
    <w:rPr>
      <w:b/>
      <w:bCs/>
    </w:rPr>
  </w:style>
  <w:style w:type="character" w:customStyle="1" w:styleId="Heading1Char">
    <w:name w:val="Heading 1 Char"/>
    <w:basedOn w:val="DefaultParagraphFont"/>
    <w:link w:val="Heading1"/>
    <w:uiPriority w:val="9"/>
    <w:rsid w:val="000324F7"/>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E93416"/>
    <w:pPr>
      <w:spacing w:after="100"/>
    </w:pPr>
  </w:style>
  <w:style w:type="paragraph" w:styleId="Header">
    <w:name w:val="header"/>
    <w:basedOn w:val="Normal"/>
    <w:link w:val="HeaderChar"/>
    <w:uiPriority w:val="99"/>
    <w:unhideWhenUsed/>
    <w:rsid w:val="00E93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3416"/>
  </w:style>
  <w:style w:type="paragraph" w:styleId="Footer">
    <w:name w:val="footer"/>
    <w:basedOn w:val="Normal"/>
    <w:link w:val="FooterChar"/>
    <w:uiPriority w:val="99"/>
    <w:unhideWhenUsed/>
    <w:rsid w:val="00E934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3416"/>
  </w:style>
  <w:style w:type="character" w:styleId="CommentReference">
    <w:name w:val="annotation reference"/>
    <w:basedOn w:val="DefaultParagraphFont"/>
    <w:uiPriority w:val="99"/>
    <w:semiHidden/>
    <w:unhideWhenUsed/>
    <w:rsid w:val="00157302"/>
    <w:rPr>
      <w:sz w:val="16"/>
      <w:szCs w:val="16"/>
    </w:rPr>
  </w:style>
  <w:style w:type="paragraph" w:styleId="CommentText">
    <w:name w:val="annotation text"/>
    <w:basedOn w:val="Normal"/>
    <w:link w:val="CommentTextChar"/>
    <w:uiPriority w:val="99"/>
    <w:unhideWhenUsed/>
    <w:rsid w:val="00157302"/>
    <w:pPr>
      <w:spacing w:line="240" w:lineRule="auto"/>
    </w:pPr>
    <w:rPr>
      <w:sz w:val="20"/>
      <w:szCs w:val="20"/>
    </w:rPr>
  </w:style>
  <w:style w:type="character" w:customStyle="1" w:styleId="CommentTextChar">
    <w:name w:val="Comment Text Char"/>
    <w:basedOn w:val="DefaultParagraphFont"/>
    <w:link w:val="CommentText"/>
    <w:uiPriority w:val="99"/>
    <w:rsid w:val="00157302"/>
    <w:rPr>
      <w:sz w:val="20"/>
      <w:szCs w:val="20"/>
    </w:rPr>
  </w:style>
  <w:style w:type="paragraph" w:styleId="CommentSubject">
    <w:name w:val="annotation subject"/>
    <w:basedOn w:val="CommentText"/>
    <w:next w:val="CommentText"/>
    <w:link w:val="CommentSubjectChar"/>
    <w:uiPriority w:val="99"/>
    <w:semiHidden/>
    <w:unhideWhenUsed/>
    <w:rsid w:val="00157302"/>
    <w:rPr>
      <w:b/>
      <w:bCs/>
    </w:rPr>
  </w:style>
  <w:style w:type="character" w:customStyle="1" w:styleId="CommentSubjectChar">
    <w:name w:val="Comment Subject Char"/>
    <w:basedOn w:val="CommentTextChar"/>
    <w:link w:val="CommentSubject"/>
    <w:uiPriority w:val="99"/>
    <w:semiHidden/>
    <w:rsid w:val="00157302"/>
    <w:rPr>
      <w:b/>
      <w:bCs/>
      <w:sz w:val="20"/>
      <w:szCs w:val="20"/>
    </w:rPr>
  </w:style>
  <w:style w:type="character" w:styleId="UnresolvedMention">
    <w:name w:val="Unresolved Mention"/>
    <w:basedOn w:val="DefaultParagraphFont"/>
    <w:uiPriority w:val="99"/>
    <w:semiHidden/>
    <w:unhideWhenUsed/>
    <w:rsid w:val="00F561DC"/>
    <w:rPr>
      <w:color w:val="605E5C"/>
      <w:shd w:val="clear" w:color="auto" w:fill="E1DFDD"/>
    </w:rPr>
  </w:style>
  <w:style w:type="character" w:customStyle="1" w:styleId="Heading2Char">
    <w:name w:val="Heading 2 Char"/>
    <w:basedOn w:val="DefaultParagraphFont"/>
    <w:link w:val="Heading2"/>
    <w:rsid w:val="000B3A28"/>
    <w:rPr>
      <w:rFonts w:ascii="Times New Roman" w:eastAsia="Times New Roman" w:hAnsi="Times New Roman" w:cs="Times New Roman"/>
    </w:rPr>
  </w:style>
  <w:style w:type="character" w:customStyle="1" w:styleId="Heading3Char">
    <w:name w:val="Heading 3 Char"/>
    <w:basedOn w:val="DefaultParagraphFont"/>
    <w:link w:val="Heading3"/>
    <w:rsid w:val="000B3A28"/>
    <w:rPr>
      <w:rFonts w:ascii="Times New Roman" w:eastAsia="Times New Roman" w:hAnsi="Times New Roman" w:cs="Times New Roman"/>
    </w:rPr>
  </w:style>
  <w:style w:type="character" w:customStyle="1" w:styleId="Heading4Char">
    <w:name w:val="Heading 4 Char"/>
    <w:basedOn w:val="DefaultParagraphFont"/>
    <w:link w:val="Heading4"/>
    <w:rsid w:val="000B3A28"/>
    <w:rPr>
      <w:rFonts w:ascii="Times New Roman" w:eastAsia="Times New Roman" w:hAnsi="Times New Roman" w:cs="Times New Roman"/>
    </w:rPr>
  </w:style>
  <w:style w:type="character" w:customStyle="1" w:styleId="Heading5Char">
    <w:name w:val="Heading 5 Char"/>
    <w:basedOn w:val="DefaultParagraphFont"/>
    <w:link w:val="Heading5"/>
    <w:rsid w:val="000B3A28"/>
    <w:rPr>
      <w:rFonts w:ascii="Times New Roman" w:eastAsia="Times New Roman" w:hAnsi="Times New Roman" w:cs="Times New Roman"/>
    </w:rPr>
  </w:style>
  <w:style w:type="character" w:customStyle="1" w:styleId="Heading6Char">
    <w:name w:val="Heading 6 Char"/>
    <w:basedOn w:val="DefaultParagraphFont"/>
    <w:link w:val="Heading6"/>
    <w:rsid w:val="000B3A28"/>
    <w:rPr>
      <w:rFonts w:ascii="Times New Roman" w:eastAsia="Times New Roman" w:hAnsi="Times New Roman" w:cs="Times New Roman"/>
    </w:rPr>
  </w:style>
  <w:style w:type="character" w:customStyle="1" w:styleId="Heading7Char">
    <w:name w:val="Heading 7 Char"/>
    <w:basedOn w:val="DefaultParagraphFont"/>
    <w:link w:val="Heading7"/>
    <w:rsid w:val="000B3A28"/>
    <w:rPr>
      <w:rFonts w:ascii="Times New Roman" w:eastAsia="Times New Roman" w:hAnsi="Times New Roman" w:cs="Times New Roman"/>
    </w:rPr>
  </w:style>
  <w:style w:type="character" w:customStyle="1" w:styleId="Heading8Char">
    <w:name w:val="Heading 8 Char"/>
    <w:basedOn w:val="DefaultParagraphFont"/>
    <w:link w:val="Heading8"/>
    <w:rsid w:val="000B3A28"/>
    <w:rPr>
      <w:rFonts w:ascii="Times New Roman" w:eastAsia="Times New Roman" w:hAnsi="Times New Roman" w:cs="Times New Roman"/>
    </w:rPr>
  </w:style>
  <w:style w:type="character" w:customStyle="1" w:styleId="Heading9Char">
    <w:name w:val="Heading 9 Char"/>
    <w:basedOn w:val="DefaultParagraphFont"/>
    <w:link w:val="Heading9"/>
    <w:rsid w:val="000B3A28"/>
    <w:rPr>
      <w:rFonts w:ascii="Times New Roman" w:eastAsia="Times New Roman" w:hAnsi="Times New Roman" w:cs="Times New Roman"/>
    </w:rPr>
  </w:style>
  <w:style w:type="paragraph" w:customStyle="1" w:styleId="Default">
    <w:name w:val="Default"/>
    <w:rsid w:val="008E1D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54310"/>
    <w:rPr>
      <w:color w:val="954F72" w:themeColor="followedHyperlink"/>
      <w:u w:val="single"/>
    </w:rPr>
  </w:style>
  <w:style w:type="paragraph" w:styleId="PlainText">
    <w:name w:val="Plain Text"/>
    <w:basedOn w:val="Normal"/>
    <w:link w:val="PlainTextChar"/>
    <w:uiPriority w:val="99"/>
    <w:unhideWhenUsed/>
    <w:rsid w:val="00AA3623"/>
    <w:pPr>
      <w:spacing w:after="0" w:line="240" w:lineRule="auto"/>
    </w:pPr>
    <w:rPr>
      <w:rFonts w:ascii="Calibri" w:hAnsi="Calibri"/>
      <w:szCs w:val="21"/>
      <w:lang w:val="fr-BE"/>
    </w:rPr>
  </w:style>
  <w:style w:type="character" w:customStyle="1" w:styleId="PlainTextChar">
    <w:name w:val="Plain Text Char"/>
    <w:basedOn w:val="DefaultParagraphFont"/>
    <w:link w:val="PlainText"/>
    <w:uiPriority w:val="99"/>
    <w:rsid w:val="00AA3623"/>
    <w:rPr>
      <w:rFonts w:ascii="Calibri" w:hAnsi="Calibri"/>
      <w:szCs w:val="21"/>
      <w:lang w:val="fr-BE"/>
    </w:rPr>
  </w:style>
  <w:style w:type="paragraph" w:customStyle="1" w:styleId="Normal1">
    <w:name w:val="Normal1"/>
    <w:basedOn w:val="Normal"/>
    <w:uiPriority w:val="99"/>
    <w:rsid w:val="00AA3623"/>
    <w:pPr>
      <w:spacing w:after="0" w:line="276" w:lineRule="auto"/>
    </w:pPr>
    <w:rPr>
      <w:rFonts w:ascii="Arial" w:hAnsi="Arial" w:cs="Arial"/>
      <w:color w:val="000000"/>
      <w:lang w:val="fr-BE" w:eastAsia="fr-FR"/>
    </w:rPr>
  </w:style>
  <w:style w:type="paragraph" w:styleId="Revision">
    <w:name w:val="Revision"/>
    <w:hidden/>
    <w:uiPriority w:val="99"/>
    <w:semiHidden/>
    <w:rsid w:val="00C27430"/>
    <w:pPr>
      <w:spacing w:after="0" w:line="240" w:lineRule="auto"/>
    </w:pPr>
  </w:style>
  <w:style w:type="paragraph" w:customStyle="1" w:styleId="tv213">
    <w:name w:val="tv213"/>
    <w:basedOn w:val="Normal"/>
    <w:rsid w:val="007E0009"/>
    <w:pPr>
      <w:spacing w:before="60" w:after="0" w:line="240" w:lineRule="auto"/>
      <w:ind w:firstLine="301"/>
      <w:jc w:val="both"/>
    </w:pPr>
    <w:rPr>
      <w:rFonts w:ascii="Calibri" w:eastAsia="PMingLiU" w:hAnsi="Calibri" w:cs="Times New Roman"/>
      <w:color w:val="00000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3495">
      <w:bodyDiv w:val="1"/>
      <w:marLeft w:val="0"/>
      <w:marRight w:val="0"/>
      <w:marTop w:val="0"/>
      <w:marBottom w:val="0"/>
      <w:divBdr>
        <w:top w:val="none" w:sz="0" w:space="0" w:color="auto"/>
        <w:left w:val="none" w:sz="0" w:space="0" w:color="auto"/>
        <w:bottom w:val="none" w:sz="0" w:space="0" w:color="auto"/>
        <w:right w:val="none" w:sz="0" w:space="0" w:color="auto"/>
      </w:divBdr>
    </w:div>
    <w:div w:id="267930634">
      <w:bodyDiv w:val="1"/>
      <w:marLeft w:val="0"/>
      <w:marRight w:val="0"/>
      <w:marTop w:val="0"/>
      <w:marBottom w:val="0"/>
      <w:divBdr>
        <w:top w:val="none" w:sz="0" w:space="0" w:color="auto"/>
        <w:left w:val="none" w:sz="0" w:space="0" w:color="auto"/>
        <w:bottom w:val="none" w:sz="0" w:space="0" w:color="auto"/>
        <w:right w:val="none" w:sz="0" w:space="0" w:color="auto"/>
      </w:divBdr>
    </w:div>
    <w:div w:id="423765640">
      <w:bodyDiv w:val="1"/>
      <w:marLeft w:val="0"/>
      <w:marRight w:val="0"/>
      <w:marTop w:val="0"/>
      <w:marBottom w:val="0"/>
      <w:divBdr>
        <w:top w:val="none" w:sz="0" w:space="0" w:color="auto"/>
        <w:left w:val="none" w:sz="0" w:space="0" w:color="auto"/>
        <w:bottom w:val="none" w:sz="0" w:space="0" w:color="auto"/>
        <w:right w:val="none" w:sz="0" w:space="0" w:color="auto"/>
      </w:divBdr>
    </w:div>
    <w:div w:id="579826229">
      <w:bodyDiv w:val="1"/>
      <w:marLeft w:val="0"/>
      <w:marRight w:val="0"/>
      <w:marTop w:val="0"/>
      <w:marBottom w:val="0"/>
      <w:divBdr>
        <w:top w:val="none" w:sz="0" w:space="0" w:color="auto"/>
        <w:left w:val="none" w:sz="0" w:space="0" w:color="auto"/>
        <w:bottom w:val="none" w:sz="0" w:space="0" w:color="auto"/>
        <w:right w:val="none" w:sz="0" w:space="0" w:color="auto"/>
      </w:divBdr>
    </w:div>
    <w:div w:id="748423792">
      <w:bodyDiv w:val="1"/>
      <w:marLeft w:val="0"/>
      <w:marRight w:val="0"/>
      <w:marTop w:val="0"/>
      <w:marBottom w:val="0"/>
      <w:divBdr>
        <w:top w:val="none" w:sz="0" w:space="0" w:color="auto"/>
        <w:left w:val="none" w:sz="0" w:space="0" w:color="auto"/>
        <w:bottom w:val="none" w:sz="0" w:space="0" w:color="auto"/>
        <w:right w:val="none" w:sz="0" w:space="0" w:color="auto"/>
      </w:divBdr>
    </w:div>
    <w:div w:id="979845507">
      <w:bodyDiv w:val="1"/>
      <w:marLeft w:val="0"/>
      <w:marRight w:val="0"/>
      <w:marTop w:val="0"/>
      <w:marBottom w:val="0"/>
      <w:divBdr>
        <w:top w:val="none" w:sz="0" w:space="0" w:color="auto"/>
        <w:left w:val="none" w:sz="0" w:space="0" w:color="auto"/>
        <w:bottom w:val="none" w:sz="0" w:space="0" w:color="auto"/>
        <w:right w:val="none" w:sz="0" w:space="0" w:color="auto"/>
      </w:divBdr>
    </w:div>
    <w:div w:id="1254581876">
      <w:bodyDiv w:val="1"/>
      <w:marLeft w:val="0"/>
      <w:marRight w:val="0"/>
      <w:marTop w:val="0"/>
      <w:marBottom w:val="0"/>
      <w:divBdr>
        <w:top w:val="none" w:sz="0" w:space="0" w:color="auto"/>
        <w:left w:val="none" w:sz="0" w:space="0" w:color="auto"/>
        <w:bottom w:val="none" w:sz="0" w:space="0" w:color="auto"/>
        <w:right w:val="none" w:sz="0" w:space="0" w:color="auto"/>
      </w:divBdr>
    </w:div>
    <w:div w:id="1314291442">
      <w:bodyDiv w:val="1"/>
      <w:marLeft w:val="0"/>
      <w:marRight w:val="0"/>
      <w:marTop w:val="0"/>
      <w:marBottom w:val="0"/>
      <w:divBdr>
        <w:top w:val="none" w:sz="0" w:space="0" w:color="auto"/>
        <w:left w:val="none" w:sz="0" w:space="0" w:color="auto"/>
        <w:bottom w:val="none" w:sz="0" w:space="0" w:color="auto"/>
        <w:right w:val="none" w:sz="0" w:space="0" w:color="auto"/>
      </w:divBdr>
    </w:div>
    <w:div w:id="1315060450">
      <w:bodyDiv w:val="1"/>
      <w:marLeft w:val="0"/>
      <w:marRight w:val="0"/>
      <w:marTop w:val="0"/>
      <w:marBottom w:val="0"/>
      <w:divBdr>
        <w:top w:val="none" w:sz="0" w:space="0" w:color="auto"/>
        <w:left w:val="none" w:sz="0" w:space="0" w:color="auto"/>
        <w:bottom w:val="none" w:sz="0" w:space="0" w:color="auto"/>
        <w:right w:val="none" w:sz="0" w:space="0" w:color="auto"/>
      </w:divBdr>
    </w:div>
    <w:div w:id="1826314539">
      <w:bodyDiv w:val="1"/>
      <w:marLeft w:val="0"/>
      <w:marRight w:val="0"/>
      <w:marTop w:val="0"/>
      <w:marBottom w:val="0"/>
      <w:divBdr>
        <w:top w:val="none" w:sz="0" w:space="0" w:color="auto"/>
        <w:left w:val="none" w:sz="0" w:space="0" w:color="auto"/>
        <w:bottom w:val="none" w:sz="0" w:space="0" w:color="auto"/>
        <w:right w:val="none" w:sz="0" w:space="0" w:color="auto"/>
      </w:divBdr>
    </w:div>
    <w:div w:id="2032221392">
      <w:bodyDiv w:val="1"/>
      <w:marLeft w:val="0"/>
      <w:marRight w:val="0"/>
      <w:marTop w:val="0"/>
      <w:marBottom w:val="0"/>
      <w:divBdr>
        <w:top w:val="none" w:sz="0" w:space="0" w:color="auto"/>
        <w:left w:val="none" w:sz="0" w:space="0" w:color="auto"/>
        <w:bottom w:val="none" w:sz="0" w:space="0" w:color="auto"/>
        <w:right w:val="none" w:sz="0" w:space="0" w:color="auto"/>
      </w:divBdr>
    </w:div>
    <w:div w:id="2076010067">
      <w:bodyDiv w:val="1"/>
      <w:marLeft w:val="0"/>
      <w:marRight w:val="0"/>
      <w:marTop w:val="0"/>
      <w:marBottom w:val="0"/>
      <w:divBdr>
        <w:top w:val="none" w:sz="0" w:space="0" w:color="auto"/>
        <w:left w:val="none" w:sz="0" w:space="0" w:color="auto"/>
        <w:bottom w:val="none" w:sz="0" w:space="0" w:color="auto"/>
        <w:right w:val="none" w:sz="0" w:space="0" w:color="auto"/>
      </w:divBdr>
    </w:div>
    <w:div w:id="21260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er.Sleeckx@pmv.eu" TargetMode="External"/><Relationship Id="rId18" Type="http://schemas.openxmlformats.org/officeDocument/2006/relationships/hyperlink" Target="mailto:Kari.Villikka@finnvera.fi" TargetMode="External"/><Relationship Id="rId26" Type="http://schemas.openxmlformats.org/officeDocument/2006/relationships/hyperlink" Target="https://www.gov.pl/web/finanse/ministerstwo-finansow-z-pomoca-dla-msp" TargetMode="External"/><Relationship Id="rId21" Type="http://schemas.openxmlformats.org/officeDocument/2006/relationships/hyperlink" Target="https://vdb-info.de/aktuelles/pressemitteilungen/corona-krise-buergschaftsbanken-erweitern-unterstuetzung-von-kmu" TargetMode="External"/><Relationship Id="rId34" Type="http://schemas.openxmlformats.org/officeDocument/2006/relationships/hyperlink" Target="https://www.british-business-bank.co.uk/ourpartners/supporting-business-loans-enterprise-finance-guarantee/" TargetMode="External"/><Relationship Id="rId7" Type="http://schemas.openxmlformats.org/officeDocument/2006/relationships/endnotes" Target="endnotes.xml"/><Relationship Id="rId12" Type="http://schemas.openxmlformats.org/officeDocument/2006/relationships/hyperlink" Target="https://www.demorgen.be/nieuws/dit-zijn-de-ondersteunende-maatregelen-van-de-vlaamse-regering~b4d1066c/" TargetMode="External"/><Relationship Id="rId17" Type="http://schemas.openxmlformats.org/officeDocument/2006/relationships/hyperlink" Target="https://ec.europa.eu/commission/presscorner/detail/en/ip_20_454" TargetMode="External"/><Relationship Id="rId25" Type="http://schemas.openxmlformats.org/officeDocument/2006/relationships/hyperlink" Target="https://www.rvo.nl/actueel/nieuws/coronavirus-verruimde-bmkb-regeling-voor-ondernemers-versneld-open" TargetMode="External"/><Relationship Id="rId33" Type="http://schemas.openxmlformats.org/officeDocument/2006/relationships/hyperlink" Target="mailto:marta@cesgar.es" TargetMode="External"/><Relationship Id="rId2" Type="http://schemas.openxmlformats.org/officeDocument/2006/relationships/numbering" Target="numbering.xml"/><Relationship Id="rId16" Type="http://schemas.openxmlformats.org/officeDocument/2006/relationships/hyperlink" Target="mailto:KRUPA@cmzrb.cz" TargetMode="External"/><Relationship Id="rId20" Type="http://schemas.openxmlformats.org/officeDocument/2006/relationships/hyperlink" Target="https://www.bpifrance.fr/A-la-une/Actualites/Coronavirus-Bpifrance-active-des-mesures-exceptionnelles-de-soutien-aux-entreprises-49113" TargetMode="External"/><Relationship Id="rId29" Type="http://schemas.openxmlformats.org/officeDocument/2006/relationships/hyperlink" Target="mailto:ovidiu.vajiala@contragarantar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l@sowalfin.be" TargetMode="External"/><Relationship Id="rId24" Type="http://schemas.openxmlformats.org/officeDocument/2006/relationships/hyperlink" Target="mailto:Elina.Dlohi@altum.lv" TargetMode="External"/><Relationship Id="rId32" Type="http://schemas.openxmlformats.org/officeDocument/2006/relationships/hyperlink" Target="mailto:avizcaino@cersa-sme.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ijana.BarsicBarun@hamagbicro.hr" TargetMode="External"/><Relationship Id="rId23" Type="http://schemas.openxmlformats.org/officeDocument/2006/relationships/hyperlink" Target="mailto:Brian.Colgan@sbci.gov.ie" TargetMode="External"/><Relationship Id="rId28" Type="http://schemas.openxmlformats.org/officeDocument/2006/relationships/hyperlink" Target="mailto:simona.muresan@fngcimm.ro" TargetMode="External"/><Relationship Id="rId36" Type="http://schemas.openxmlformats.org/officeDocument/2006/relationships/fontTable" Target="fontTable.xml"/><Relationship Id="rId10" Type="http://schemas.openxmlformats.org/officeDocument/2006/relationships/hyperlink" Target="https://www.aws.at/aws-garantie/ueberbrueckungsgarantie/" TargetMode="External"/><Relationship Id="rId19" Type="http://schemas.openxmlformats.org/officeDocument/2006/relationships/hyperlink" Target="mailto:Yvan.PARROT@eurocaution.net" TargetMode="External"/><Relationship Id="rId31" Type="http://schemas.openxmlformats.org/officeDocument/2006/relationships/hyperlink" Target="https://www.rtve.es/noticias/20200310/gobierno-medidas-coronavirus-empleo-pymes/2008200.shtml" TargetMode="External"/><Relationship Id="rId4" Type="http://schemas.openxmlformats.org/officeDocument/2006/relationships/settings" Target="settings.xml"/><Relationship Id="rId9" Type="http://schemas.openxmlformats.org/officeDocument/2006/relationships/hyperlink" Target="https://www.aws.at/aws-garantie/ueberbrueckungsgarantie/" TargetMode="External"/><Relationship Id="rId14" Type="http://schemas.openxmlformats.org/officeDocument/2006/relationships/hyperlink" Target="https://hamagbicro.hr/mjere-hamag-bicro-a-za-pomoc-mikro-malim-i-srednjim-poduzetnicima-uslijed-pandemije-uzrokovane-koronavirusom/" TargetMode="External"/><Relationship Id="rId22" Type="http://schemas.openxmlformats.org/officeDocument/2006/relationships/hyperlink" Target="https://dbei.gov.ie/Djei/en/News-And-Events/Department-News/2020/March/10032020.html" TargetMode="External"/><Relationship Id="rId27" Type="http://schemas.openxmlformats.org/officeDocument/2006/relationships/hyperlink" Target="https://www.iapmei.pt/Paginas/Medidas-de-apoio-as-empresas-relacionadas-com-o-im.aspx" TargetMode="External"/><Relationship Id="rId30" Type="http://schemas.openxmlformats.org/officeDocument/2006/relationships/hyperlink" Target="https://www.rtve.es/noticias/20200310/union-europea-creara-fondo-respuesta-coronavirus-hasta-25000-millones-euros/2008441.shtm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8113-5EA6-4D82-8647-0549ED14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3761</Words>
  <Characters>21439</Characters>
  <Application>Microsoft Office Word</Application>
  <DocSecurity>0</DocSecurity>
  <Lines>178</Lines>
  <Paragraphs>50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Sturm</dc:creator>
  <cp:keywords/>
  <dc:description/>
  <cp:lastModifiedBy>Felicia Covalciuc</cp:lastModifiedBy>
  <cp:revision>2</cp:revision>
  <cp:lastPrinted>2020-03-10T14:49:00Z</cp:lastPrinted>
  <dcterms:created xsi:type="dcterms:W3CDTF">2020-03-19T22:19:00Z</dcterms:created>
  <dcterms:modified xsi:type="dcterms:W3CDTF">2020-03-19T22:19:00Z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