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7B74" w14:textId="1F91347A" w:rsidR="009D4D15" w:rsidRPr="00DE4BFE" w:rsidRDefault="000A0E0D" w:rsidP="00DE4BFE">
      <w:pPr>
        <w:jc w:val="both"/>
        <w:rPr>
          <w:rFonts w:ascii="Avenir Next LT Pro" w:hAnsi="Avenir Next LT Pro"/>
          <w:b/>
          <w:bCs/>
          <w:sz w:val="36"/>
          <w:szCs w:val="36"/>
        </w:rPr>
      </w:pPr>
      <w:r w:rsidRPr="00DE4BFE">
        <w:rPr>
          <w:rFonts w:ascii="Avenir Next LT Pro" w:hAnsi="Avenir Next LT Pro"/>
          <w:b/>
          <w:bCs/>
          <w:sz w:val="36"/>
          <w:szCs w:val="36"/>
        </w:rPr>
        <w:t xml:space="preserve">State of Play – </w:t>
      </w:r>
      <w:proofErr w:type="spellStart"/>
      <w:r w:rsidRPr="00DE4BFE">
        <w:rPr>
          <w:rFonts w:ascii="Avenir Next LT Pro" w:hAnsi="Avenir Next LT Pro"/>
          <w:b/>
          <w:bCs/>
          <w:sz w:val="36"/>
          <w:szCs w:val="36"/>
        </w:rPr>
        <w:t>InvestEU</w:t>
      </w:r>
      <w:proofErr w:type="spellEnd"/>
      <w:r w:rsidRPr="00DE4BFE">
        <w:rPr>
          <w:rFonts w:ascii="Avenir Next LT Pro" w:hAnsi="Avenir Next LT Pro"/>
          <w:b/>
          <w:bCs/>
          <w:sz w:val="36"/>
          <w:szCs w:val="36"/>
        </w:rPr>
        <w:t xml:space="preserve"> Pillar Assessment</w:t>
      </w:r>
    </w:p>
    <w:p w14:paraId="2096DE86" w14:textId="56E388FB" w:rsidR="000A0E0D" w:rsidRPr="00DE4BFE" w:rsidRDefault="000A0E0D" w:rsidP="00DE4BFE">
      <w:pPr>
        <w:jc w:val="both"/>
        <w:rPr>
          <w:rFonts w:ascii="Avenir Next LT Pro" w:hAnsi="Avenir Next LT Pro"/>
        </w:rPr>
      </w:pPr>
    </w:p>
    <w:p w14:paraId="720AD7E7" w14:textId="69F195E2" w:rsidR="000A0E0D" w:rsidRPr="00DE4BFE" w:rsidRDefault="000A0E0D" w:rsidP="00DE4BFE">
      <w:pPr>
        <w:jc w:val="both"/>
        <w:rPr>
          <w:rFonts w:ascii="Avenir Next LT Pro" w:hAnsi="Avenir Next LT Pro"/>
          <w:sz w:val="24"/>
          <w:szCs w:val="24"/>
        </w:rPr>
      </w:pPr>
      <w:r w:rsidRPr="00DE4BFE">
        <w:rPr>
          <w:rFonts w:ascii="Avenir Next LT Pro" w:hAnsi="Avenir Next LT Pro"/>
          <w:sz w:val="24"/>
          <w:szCs w:val="24"/>
          <w:highlight w:val="green"/>
        </w:rPr>
        <w:t>Finalised Pillar Assessment</w:t>
      </w:r>
    </w:p>
    <w:p w14:paraId="740FFCE7" w14:textId="408EFA89" w:rsidR="000A0E0D" w:rsidRPr="00DE4BFE" w:rsidRDefault="000A0E0D" w:rsidP="00DE4BFE">
      <w:pPr>
        <w:jc w:val="both"/>
        <w:rPr>
          <w:rFonts w:ascii="Avenir Next LT Pro" w:hAnsi="Avenir Next LT Pro"/>
          <w:sz w:val="24"/>
          <w:szCs w:val="24"/>
        </w:rPr>
      </w:pPr>
      <w:r w:rsidRPr="00DE4BFE">
        <w:rPr>
          <w:rFonts w:ascii="Avenir Next LT Pro" w:hAnsi="Avenir Next LT Pro"/>
          <w:sz w:val="24"/>
          <w:szCs w:val="24"/>
          <w:highlight w:val="yellow"/>
        </w:rPr>
        <w:t>Close to Finalisation</w:t>
      </w:r>
    </w:p>
    <w:p w14:paraId="0FFFDC9D" w14:textId="1E4E9D75" w:rsidR="000A0E0D" w:rsidRPr="00DE4BFE" w:rsidRDefault="000A0E0D" w:rsidP="00DE4BFE">
      <w:pPr>
        <w:jc w:val="both"/>
        <w:rPr>
          <w:rFonts w:ascii="Avenir Next LT Pro" w:hAnsi="Avenir Next LT Pro"/>
          <w:sz w:val="24"/>
          <w:szCs w:val="24"/>
        </w:rPr>
      </w:pPr>
      <w:r w:rsidRPr="00DE4BFE">
        <w:rPr>
          <w:rFonts w:ascii="Avenir Next LT Pro" w:hAnsi="Avenir Next LT Pro"/>
          <w:sz w:val="24"/>
          <w:szCs w:val="24"/>
          <w:highlight w:val="cyan"/>
        </w:rPr>
        <w:t>Started Pillar Assessment</w:t>
      </w:r>
    </w:p>
    <w:tbl>
      <w:tblPr>
        <w:tblStyle w:val="TableGrid"/>
        <w:tblW w:w="0" w:type="auto"/>
        <w:tblLook w:val="04A0" w:firstRow="1" w:lastRow="0" w:firstColumn="1" w:lastColumn="0" w:noHBand="0" w:noVBand="1"/>
      </w:tblPr>
      <w:tblGrid>
        <w:gridCol w:w="2088"/>
        <w:gridCol w:w="6974"/>
      </w:tblGrid>
      <w:tr w:rsidR="00DA4119" w:rsidRPr="00DE4BFE" w14:paraId="4AE22CDA" w14:textId="77777777" w:rsidTr="007D3493">
        <w:tc>
          <w:tcPr>
            <w:tcW w:w="1696" w:type="dxa"/>
            <w:shd w:val="clear" w:color="auto" w:fill="6EF629"/>
          </w:tcPr>
          <w:p w14:paraId="2FF97246" w14:textId="1EBB32F7" w:rsidR="00DA4119" w:rsidRPr="00D927B5" w:rsidRDefault="00DA4119" w:rsidP="00DE4BFE">
            <w:pPr>
              <w:jc w:val="both"/>
              <w:rPr>
                <w:rFonts w:ascii="Avenir Next LT Pro" w:hAnsi="Avenir Next LT Pro"/>
                <w:sz w:val="24"/>
                <w:szCs w:val="24"/>
              </w:rPr>
            </w:pPr>
            <w:r>
              <w:rPr>
                <w:rFonts w:ascii="Avenir Next LT Pro" w:hAnsi="Avenir Next LT Pro"/>
                <w:sz w:val="24"/>
                <w:szCs w:val="24"/>
              </w:rPr>
              <w:t xml:space="preserve">PMV/z </w:t>
            </w:r>
            <w:proofErr w:type="spellStart"/>
            <w:r>
              <w:rPr>
                <w:rFonts w:ascii="Avenir Next LT Pro" w:hAnsi="Avenir Next LT Pro"/>
                <w:sz w:val="24"/>
                <w:szCs w:val="24"/>
              </w:rPr>
              <w:t>Waarborgen</w:t>
            </w:r>
            <w:proofErr w:type="spellEnd"/>
            <w:r>
              <w:rPr>
                <w:rFonts w:ascii="Avenir Next LT Pro" w:hAnsi="Avenir Next LT Pro"/>
                <w:sz w:val="24"/>
                <w:szCs w:val="24"/>
              </w:rPr>
              <w:t>/BE</w:t>
            </w:r>
          </w:p>
        </w:tc>
        <w:tc>
          <w:tcPr>
            <w:tcW w:w="7366" w:type="dxa"/>
            <w:shd w:val="clear" w:color="auto" w:fill="6EF629"/>
          </w:tcPr>
          <w:p w14:paraId="0FA1BD27" w14:textId="059142CC" w:rsidR="00DA4119" w:rsidRPr="00DA4119" w:rsidRDefault="00DA4119" w:rsidP="00C724AE">
            <w:pPr>
              <w:jc w:val="both"/>
              <w:rPr>
                <w:rFonts w:ascii="Avenir Next LT Pro" w:hAnsi="Avenir Next LT Pro"/>
                <w:sz w:val="24"/>
                <w:szCs w:val="24"/>
                <w:lang w:val="en-US"/>
              </w:rPr>
            </w:pPr>
            <w:r w:rsidRPr="00DA4119">
              <w:rPr>
                <w:rFonts w:ascii="Avenir Next LT Pro" w:hAnsi="Avenir Next LT Pro"/>
                <w:sz w:val="24"/>
                <w:szCs w:val="24"/>
                <w:lang w:val="en-US"/>
              </w:rPr>
              <w:t xml:space="preserve">PMV has </w:t>
            </w:r>
            <w:proofErr w:type="spellStart"/>
            <w:r w:rsidRPr="00DA4119">
              <w:rPr>
                <w:rFonts w:ascii="Avenir Next LT Pro" w:hAnsi="Avenir Next LT Pro"/>
                <w:sz w:val="24"/>
                <w:szCs w:val="24"/>
                <w:lang w:val="en-US"/>
              </w:rPr>
              <w:t>finalised</w:t>
            </w:r>
            <w:proofErr w:type="spellEnd"/>
            <w:r w:rsidRPr="00DA4119">
              <w:rPr>
                <w:rFonts w:ascii="Avenir Next LT Pro" w:hAnsi="Avenir Next LT Pro"/>
                <w:sz w:val="24"/>
                <w:szCs w:val="24"/>
                <w:lang w:val="en-US"/>
              </w:rPr>
              <w:t xml:space="preserve"> the pillar assessment.</w:t>
            </w:r>
          </w:p>
        </w:tc>
      </w:tr>
      <w:tr w:rsidR="000A0E0D" w:rsidRPr="00DE4BFE" w14:paraId="491C7E67" w14:textId="77777777" w:rsidTr="007D3493">
        <w:tc>
          <w:tcPr>
            <w:tcW w:w="1696" w:type="dxa"/>
            <w:shd w:val="clear" w:color="auto" w:fill="6EF629"/>
          </w:tcPr>
          <w:p w14:paraId="6F8A8F27" w14:textId="06F63001" w:rsidR="000A0E0D" w:rsidRPr="00D927B5" w:rsidRDefault="00882E69" w:rsidP="00DE4BFE">
            <w:pPr>
              <w:jc w:val="both"/>
              <w:rPr>
                <w:rFonts w:ascii="Avenir Next LT Pro" w:hAnsi="Avenir Next LT Pro"/>
                <w:sz w:val="24"/>
                <w:szCs w:val="24"/>
              </w:rPr>
            </w:pPr>
            <w:r w:rsidRPr="00D927B5">
              <w:rPr>
                <w:rFonts w:ascii="Avenir Next LT Pro" w:hAnsi="Avenir Next LT Pro"/>
                <w:sz w:val="24"/>
                <w:szCs w:val="24"/>
              </w:rPr>
              <w:t>Bpifrance</w:t>
            </w:r>
            <w:r w:rsidR="00F056A3" w:rsidRPr="00D927B5">
              <w:rPr>
                <w:rFonts w:ascii="Avenir Next LT Pro" w:hAnsi="Avenir Next LT Pro"/>
                <w:sz w:val="24"/>
                <w:szCs w:val="24"/>
              </w:rPr>
              <w:t>/</w:t>
            </w:r>
            <w:r w:rsidR="009D0B06" w:rsidRPr="00D927B5">
              <w:rPr>
                <w:rFonts w:ascii="Avenir Next LT Pro" w:hAnsi="Avenir Next LT Pro"/>
                <w:sz w:val="24"/>
                <w:szCs w:val="24"/>
              </w:rPr>
              <w:t>FR</w:t>
            </w:r>
          </w:p>
        </w:tc>
        <w:tc>
          <w:tcPr>
            <w:tcW w:w="7366" w:type="dxa"/>
            <w:shd w:val="clear" w:color="auto" w:fill="6EF629"/>
          </w:tcPr>
          <w:p w14:paraId="31A2AEE6" w14:textId="56D55CEA" w:rsidR="000A0E0D" w:rsidRPr="00DE4BFE" w:rsidRDefault="009D0B06" w:rsidP="00C724AE">
            <w:pPr>
              <w:jc w:val="both"/>
              <w:rPr>
                <w:rFonts w:ascii="Avenir Next LT Pro" w:hAnsi="Avenir Next LT Pro"/>
                <w:sz w:val="24"/>
                <w:szCs w:val="24"/>
              </w:rPr>
            </w:pPr>
            <w:r w:rsidRPr="00D927B5">
              <w:rPr>
                <w:rFonts w:ascii="Avenir Next LT Pro" w:hAnsi="Avenir Next LT Pro"/>
                <w:sz w:val="24"/>
                <w:szCs w:val="24"/>
              </w:rPr>
              <w:t>Accred</w:t>
            </w:r>
            <w:r w:rsidR="00B600AE" w:rsidRPr="00D927B5">
              <w:rPr>
                <w:rFonts w:ascii="Avenir Next LT Pro" w:hAnsi="Avenir Next LT Pro"/>
                <w:sz w:val="24"/>
                <w:szCs w:val="24"/>
              </w:rPr>
              <w:t>ited in August 2021</w:t>
            </w:r>
          </w:p>
        </w:tc>
      </w:tr>
      <w:tr w:rsidR="003E7FB5" w:rsidRPr="00DE4BFE" w14:paraId="02F1F3A8" w14:textId="77777777" w:rsidTr="007D3493">
        <w:tc>
          <w:tcPr>
            <w:tcW w:w="1696" w:type="dxa"/>
            <w:shd w:val="clear" w:color="auto" w:fill="6EF629"/>
          </w:tcPr>
          <w:p w14:paraId="0977362B" w14:textId="054F1E5C" w:rsidR="003E7FB5" w:rsidRPr="00D927B5" w:rsidRDefault="003E7FB5" w:rsidP="00DE4BFE">
            <w:pPr>
              <w:jc w:val="both"/>
              <w:rPr>
                <w:rFonts w:ascii="Avenir Next LT Pro" w:hAnsi="Avenir Next LT Pro"/>
                <w:sz w:val="24"/>
                <w:szCs w:val="24"/>
              </w:rPr>
            </w:pPr>
            <w:proofErr w:type="spellStart"/>
            <w:r>
              <w:rPr>
                <w:rFonts w:ascii="Avenir Next LT Pro" w:hAnsi="Avenir Next LT Pro"/>
                <w:sz w:val="24"/>
                <w:szCs w:val="24"/>
              </w:rPr>
              <w:t>Garantiqa</w:t>
            </w:r>
            <w:proofErr w:type="spellEnd"/>
            <w:r>
              <w:rPr>
                <w:rFonts w:ascii="Avenir Next LT Pro" w:hAnsi="Avenir Next LT Pro"/>
                <w:sz w:val="24"/>
                <w:szCs w:val="24"/>
              </w:rPr>
              <w:t>/HU</w:t>
            </w:r>
          </w:p>
        </w:tc>
        <w:tc>
          <w:tcPr>
            <w:tcW w:w="7366" w:type="dxa"/>
            <w:shd w:val="clear" w:color="auto" w:fill="6EF629"/>
          </w:tcPr>
          <w:p w14:paraId="3D65BC34" w14:textId="221B99EE" w:rsidR="003E7FB5" w:rsidRPr="00D927B5" w:rsidRDefault="003E7FB5" w:rsidP="00C724AE">
            <w:pPr>
              <w:jc w:val="both"/>
              <w:rPr>
                <w:rFonts w:ascii="Avenir Next LT Pro" w:hAnsi="Avenir Next LT Pro"/>
                <w:sz w:val="24"/>
                <w:szCs w:val="24"/>
              </w:rPr>
            </w:pPr>
            <w:proofErr w:type="spellStart"/>
            <w:r w:rsidRPr="003E7FB5">
              <w:rPr>
                <w:rFonts w:ascii="Avenir Next LT Pro" w:hAnsi="Avenir Next LT Pro"/>
                <w:sz w:val="24"/>
                <w:szCs w:val="24"/>
              </w:rPr>
              <w:t>Garantiqa</w:t>
            </w:r>
            <w:proofErr w:type="spellEnd"/>
            <w:r w:rsidRPr="003E7FB5">
              <w:rPr>
                <w:rFonts w:ascii="Avenir Next LT Pro" w:hAnsi="Avenir Next LT Pro"/>
                <w:sz w:val="24"/>
                <w:szCs w:val="24"/>
              </w:rPr>
              <w:t xml:space="preserve"> already finalised the </w:t>
            </w:r>
            <w:proofErr w:type="spellStart"/>
            <w:r w:rsidRPr="003E7FB5">
              <w:rPr>
                <w:rFonts w:ascii="Avenir Next LT Pro" w:hAnsi="Avenir Next LT Pro"/>
                <w:sz w:val="24"/>
                <w:szCs w:val="24"/>
              </w:rPr>
              <w:t>InvestEU</w:t>
            </w:r>
            <w:proofErr w:type="spellEnd"/>
            <w:r w:rsidRPr="003E7FB5">
              <w:rPr>
                <w:rFonts w:ascii="Avenir Next LT Pro" w:hAnsi="Avenir Next LT Pro"/>
                <w:sz w:val="24"/>
                <w:szCs w:val="24"/>
              </w:rPr>
              <w:t xml:space="preserve"> Pillar Assessment at the end of last year.</w:t>
            </w:r>
          </w:p>
        </w:tc>
      </w:tr>
      <w:tr w:rsidR="000A0E0D" w:rsidRPr="00DE4BFE" w14:paraId="55FC303D" w14:textId="77777777" w:rsidTr="00DE4BFE">
        <w:tc>
          <w:tcPr>
            <w:tcW w:w="1696" w:type="dxa"/>
            <w:shd w:val="clear" w:color="auto" w:fill="FFFF00"/>
          </w:tcPr>
          <w:p w14:paraId="652A0EE1" w14:textId="0059F120" w:rsidR="000A0E0D" w:rsidRPr="00DE4BFE" w:rsidRDefault="000A0E0D" w:rsidP="00DE4BFE">
            <w:pPr>
              <w:jc w:val="both"/>
              <w:rPr>
                <w:rFonts w:ascii="Avenir Next LT Pro" w:hAnsi="Avenir Next LT Pro"/>
                <w:sz w:val="24"/>
                <w:szCs w:val="24"/>
              </w:rPr>
            </w:pPr>
            <w:proofErr w:type="spellStart"/>
            <w:r w:rsidRPr="00DE4BFE">
              <w:rPr>
                <w:rFonts w:ascii="Avenir Next LT Pro" w:hAnsi="Avenir Next LT Pro"/>
                <w:sz w:val="24"/>
                <w:szCs w:val="24"/>
              </w:rPr>
              <w:t>aws</w:t>
            </w:r>
            <w:proofErr w:type="spellEnd"/>
            <w:r w:rsidRPr="00DE4BFE">
              <w:rPr>
                <w:rFonts w:ascii="Avenir Next LT Pro" w:hAnsi="Avenir Next LT Pro"/>
                <w:sz w:val="24"/>
                <w:szCs w:val="24"/>
              </w:rPr>
              <w:t>/AT</w:t>
            </w:r>
          </w:p>
        </w:tc>
        <w:tc>
          <w:tcPr>
            <w:tcW w:w="7366" w:type="dxa"/>
            <w:shd w:val="clear" w:color="auto" w:fill="FFFF00"/>
          </w:tcPr>
          <w:p w14:paraId="1989C94C" w14:textId="18DCA34C" w:rsidR="000A0E0D" w:rsidRPr="00DE4BFE" w:rsidRDefault="000A0E0D" w:rsidP="00C724AE">
            <w:pPr>
              <w:jc w:val="both"/>
              <w:rPr>
                <w:rFonts w:ascii="Avenir Next LT Pro" w:hAnsi="Avenir Next LT Pro"/>
                <w:sz w:val="24"/>
                <w:szCs w:val="24"/>
              </w:rPr>
            </w:pPr>
            <w:r w:rsidRPr="00DE4BFE">
              <w:rPr>
                <w:rFonts w:ascii="Avenir Next LT Pro" w:hAnsi="Avenir Next LT Pro" w:cs="Arial"/>
                <w:sz w:val="24"/>
                <w:szCs w:val="24"/>
              </w:rPr>
              <w:t xml:space="preserve">We are very near to finalise it. We have only one item open that is tax avoidance. </w:t>
            </w:r>
            <w:r w:rsidRPr="00DE4BFE">
              <w:rPr>
                <w:rFonts w:ascii="Avenir Next LT Pro" w:hAnsi="Avenir Next LT Pro" w:cs="Arial"/>
                <w:sz w:val="24"/>
                <w:szCs w:val="24"/>
                <w:lang w:val="de-DE"/>
              </w:rPr>
              <w:t>Also here we hope to finish it soon</w:t>
            </w:r>
          </w:p>
        </w:tc>
      </w:tr>
      <w:tr w:rsidR="00A44009" w:rsidRPr="00DE4BFE" w14:paraId="714F5BCF" w14:textId="77777777" w:rsidTr="00DE4BFE">
        <w:tc>
          <w:tcPr>
            <w:tcW w:w="1696" w:type="dxa"/>
            <w:shd w:val="clear" w:color="auto" w:fill="FFFF00"/>
          </w:tcPr>
          <w:p w14:paraId="64CE33E6" w14:textId="45386FFE" w:rsidR="00A44009" w:rsidRPr="00DE4BFE" w:rsidRDefault="00A44009" w:rsidP="00DE4BFE">
            <w:pPr>
              <w:jc w:val="both"/>
              <w:rPr>
                <w:rFonts w:ascii="Avenir Next LT Pro" w:hAnsi="Avenir Next LT Pro"/>
                <w:sz w:val="24"/>
                <w:szCs w:val="24"/>
              </w:rPr>
            </w:pPr>
            <w:proofErr w:type="spellStart"/>
            <w:r>
              <w:rPr>
                <w:rFonts w:ascii="Avenir Next LT Pro" w:hAnsi="Avenir Next LT Pro"/>
                <w:sz w:val="24"/>
                <w:szCs w:val="24"/>
              </w:rPr>
              <w:t>Finnvera</w:t>
            </w:r>
            <w:proofErr w:type="spellEnd"/>
            <w:r w:rsidR="00AF68BE">
              <w:rPr>
                <w:rFonts w:ascii="Avenir Next LT Pro" w:hAnsi="Avenir Next LT Pro"/>
                <w:sz w:val="24"/>
                <w:szCs w:val="24"/>
              </w:rPr>
              <w:t>/FI</w:t>
            </w:r>
          </w:p>
        </w:tc>
        <w:tc>
          <w:tcPr>
            <w:tcW w:w="7366" w:type="dxa"/>
            <w:shd w:val="clear" w:color="auto" w:fill="FFFF00"/>
          </w:tcPr>
          <w:p w14:paraId="55A9E1FC" w14:textId="430566D4" w:rsidR="00A44009" w:rsidRPr="00DE4BFE" w:rsidRDefault="00B7062C" w:rsidP="00C724AE">
            <w:pPr>
              <w:jc w:val="both"/>
              <w:divId w:val="83041588"/>
              <w:rPr>
                <w:rFonts w:ascii="Avenir Next LT Pro" w:hAnsi="Avenir Next LT Pro" w:cs="Arial"/>
                <w:sz w:val="24"/>
                <w:szCs w:val="24"/>
              </w:rPr>
            </w:pPr>
            <w:r w:rsidRPr="00B7062C">
              <w:rPr>
                <w:rFonts w:ascii="Avenir Next LT Pro" w:hAnsi="Avenir Next LT Pro" w:cs="Arial"/>
                <w:sz w:val="24"/>
                <w:szCs w:val="24"/>
              </w:rPr>
              <w:t xml:space="preserve">We have completed Annex 2a during Nov 2019 and it has been analysed by our auditor and sent to COM. COM has demanded a separate review of </w:t>
            </w:r>
            <w:proofErr w:type="spellStart"/>
            <w:r w:rsidRPr="00B7062C">
              <w:rPr>
                <w:rFonts w:ascii="Avenir Next LT Pro" w:hAnsi="Avenir Next LT Pro" w:cs="Arial"/>
                <w:sz w:val="24"/>
                <w:szCs w:val="24"/>
              </w:rPr>
              <w:t>Finnvera’s</w:t>
            </w:r>
            <w:proofErr w:type="spellEnd"/>
            <w:r w:rsidRPr="00B7062C">
              <w:rPr>
                <w:rFonts w:ascii="Avenir Next LT Pro" w:hAnsi="Avenir Next LT Pro" w:cs="Arial"/>
                <w:sz w:val="24"/>
                <w:szCs w:val="24"/>
              </w:rPr>
              <w:t xml:space="preserve"> new tax haven policy during Q2/2020 and after this in Q3/2020 has demanded new system controls into our IT -systems </w:t>
            </w:r>
            <w:proofErr w:type="gramStart"/>
            <w:r w:rsidRPr="00B7062C">
              <w:rPr>
                <w:rFonts w:ascii="Avenir Next LT Pro" w:hAnsi="Avenir Next LT Pro" w:cs="Arial"/>
                <w:sz w:val="24"/>
                <w:szCs w:val="24"/>
              </w:rPr>
              <w:t>and also</w:t>
            </w:r>
            <w:proofErr w:type="gramEnd"/>
            <w:r w:rsidRPr="00B7062C">
              <w:rPr>
                <w:rFonts w:ascii="Avenir Next LT Pro" w:hAnsi="Avenir Next LT Pro" w:cs="Arial"/>
                <w:sz w:val="24"/>
                <w:szCs w:val="24"/>
              </w:rPr>
              <w:t xml:space="preserve"> a separate assurance of this. New controls were implemented in Q1/2021 and assurance done in Q2/2021. In Q2/2021 COM also informed they want to know more about the tax avoidance policy of </w:t>
            </w:r>
            <w:proofErr w:type="spellStart"/>
            <w:r w:rsidRPr="00B7062C">
              <w:rPr>
                <w:rFonts w:ascii="Avenir Next LT Pro" w:hAnsi="Avenir Next LT Pro" w:cs="Arial"/>
                <w:sz w:val="24"/>
                <w:szCs w:val="24"/>
              </w:rPr>
              <w:t>Finnvera</w:t>
            </w:r>
            <w:proofErr w:type="spellEnd"/>
            <w:r w:rsidRPr="00B7062C">
              <w:rPr>
                <w:rFonts w:ascii="Avenir Next LT Pro" w:hAnsi="Avenir Next LT Pro" w:cs="Arial"/>
                <w:sz w:val="24"/>
                <w:szCs w:val="24"/>
              </w:rPr>
              <w:t>. This material will be delivered to COM during next week.</w:t>
            </w:r>
          </w:p>
        </w:tc>
      </w:tr>
      <w:tr w:rsidR="00393018" w:rsidRPr="00DE4BFE" w14:paraId="4F24644D" w14:textId="77777777" w:rsidTr="00DE4BFE">
        <w:tc>
          <w:tcPr>
            <w:tcW w:w="1696" w:type="dxa"/>
            <w:shd w:val="clear" w:color="auto" w:fill="FFFF00"/>
          </w:tcPr>
          <w:p w14:paraId="6911E25F" w14:textId="0A1BB839" w:rsidR="00393018" w:rsidRPr="00DE4BFE" w:rsidRDefault="00393018" w:rsidP="00DE4BFE">
            <w:pPr>
              <w:jc w:val="both"/>
              <w:rPr>
                <w:rFonts w:ascii="Avenir Next LT Pro" w:hAnsi="Avenir Next LT Pro"/>
                <w:sz w:val="24"/>
                <w:szCs w:val="24"/>
              </w:rPr>
            </w:pPr>
            <w:r>
              <w:rPr>
                <w:rFonts w:ascii="Avenir Next LT Pro" w:hAnsi="Avenir Next LT Pro"/>
                <w:sz w:val="24"/>
                <w:szCs w:val="24"/>
              </w:rPr>
              <w:t>NRB/C</w:t>
            </w:r>
            <w:r w:rsidR="00260E5D">
              <w:rPr>
                <w:rFonts w:ascii="Avenir Next LT Pro" w:hAnsi="Avenir Next LT Pro"/>
                <w:sz w:val="24"/>
                <w:szCs w:val="24"/>
              </w:rPr>
              <w:t>Z</w:t>
            </w:r>
          </w:p>
        </w:tc>
        <w:tc>
          <w:tcPr>
            <w:tcW w:w="7366" w:type="dxa"/>
            <w:shd w:val="clear" w:color="auto" w:fill="FFFF00"/>
          </w:tcPr>
          <w:p w14:paraId="72447F11" w14:textId="77777777" w:rsidR="00393018" w:rsidRPr="00393018" w:rsidRDefault="00393018" w:rsidP="00C724AE">
            <w:pPr>
              <w:jc w:val="both"/>
              <w:rPr>
                <w:rFonts w:ascii="Avenir Next LT Pro" w:hAnsi="Avenir Next LT Pro" w:cs="Arial"/>
                <w:sz w:val="24"/>
                <w:szCs w:val="24"/>
              </w:rPr>
            </w:pPr>
            <w:r w:rsidRPr="00393018">
              <w:rPr>
                <w:rFonts w:ascii="Avenir Next LT Pro" w:hAnsi="Avenir Next LT Pro" w:cs="Arial"/>
                <w:sz w:val="24"/>
                <w:szCs w:val="24"/>
              </w:rPr>
              <w:t>NDB is very close to finalising the pillar assessment</w:t>
            </w:r>
          </w:p>
          <w:p w14:paraId="6E2651FE" w14:textId="48CB97B3" w:rsidR="00393018" w:rsidRPr="00DE4BFE" w:rsidRDefault="00393018" w:rsidP="00C724AE">
            <w:pPr>
              <w:jc w:val="both"/>
              <w:rPr>
                <w:rFonts w:ascii="Avenir Next LT Pro" w:hAnsi="Avenir Next LT Pro" w:cs="Arial"/>
                <w:sz w:val="24"/>
                <w:szCs w:val="24"/>
              </w:rPr>
            </w:pPr>
            <w:r w:rsidRPr="00393018">
              <w:rPr>
                <w:rFonts w:ascii="Avenir Next LT Pro" w:hAnsi="Avenir Next LT Pro" w:cs="Arial"/>
                <w:sz w:val="24"/>
                <w:szCs w:val="24"/>
              </w:rPr>
              <w:t>(at least we hope we are close to the end...)</w:t>
            </w:r>
          </w:p>
        </w:tc>
      </w:tr>
      <w:tr w:rsidR="009F3791" w:rsidRPr="00DE4BFE" w14:paraId="305DAEA0" w14:textId="77777777" w:rsidTr="00DE4BFE">
        <w:tc>
          <w:tcPr>
            <w:tcW w:w="1696" w:type="dxa"/>
            <w:shd w:val="clear" w:color="auto" w:fill="FFFF00"/>
          </w:tcPr>
          <w:p w14:paraId="21D0F859" w14:textId="0F30C7AC" w:rsidR="009F3791" w:rsidRDefault="009F3791" w:rsidP="00DE4BFE">
            <w:pPr>
              <w:jc w:val="both"/>
              <w:rPr>
                <w:rFonts w:ascii="Avenir Next LT Pro" w:hAnsi="Avenir Next LT Pro"/>
                <w:sz w:val="24"/>
                <w:szCs w:val="24"/>
              </w:rPr>
            </w:pPr>
            <w:r>
              <w:rPr>
                <w:rFonts w:ascii="Avenir Next LT Pro" w:hAnsi="Avenir Next LT Pro"/>
                <w:sz w:val="24"/>
                <w:szCs w:val="24"/>
              </w:rPr>
              <w:t>RVO/NL</w:t>
            </w:r>
          </w:p>
        </w:tc>
        <w:tc>
          <w:tcPr>
            <w:tcW w:w="7366" w:type="dxa"/>
            <w:shd w:val="clear" w:color="auto" w:fill="FFFF00"/>
          </w:tcPr>
          <w:p w14:paraId="68D43763" w14:textId="5E42E222" w:rsidR="009F3791" w:rsidRDefault="009F3791" w:rsidP="00C724AE">
            <w:pPr>
              <w:jc w:val="both"/>
              <w:rPr>
                <w:rFonts w:ascii="Avenir Next LT Pro" w:hAnsi="Avenir Next LT Pro" w:cs="Arial"/>
                <w:sz w:val="24"/>
                <w:szCs w:val="24"/>
              </w:rPr>
            </w:pPr>
            <w:r w:rsidRPr="009F3791">
              <w:rPr>
                <w:rFonts w:ascii="Avenir Next LT Pro" w:hAnsi="Avenir Next LT Pro" w:cs="Arial"/>
                <w:sz w:val="24"/>
                <w:szCs w:val="24"/>
              </w:rPr>
              <w:t>The accreditation at RVO is going well.  The latest recommendations are now being implemented.</w:t>
            </w:r>
          </w:p>
        </w:tc>
      </w:tr>
      <w:tr w:rsidR="00260E5D" w:rsidRPr="00DE4BFE" w14:paraId="34E48C69" w14:textId="77777777" w:rsidTr="00DE4BFE">
        <w:tc>
          <w:tcPr>
            <w:tcW w:w="1696" w:type="dxa"/>
            <w:shd w:val="clear" w:color="auto" w:fill="FFFF00"/>
          </w:tcPr>
          <w:p w14:paraId="4C44C215" w14:textId="705D5440" w:rsidR="00260E5D" w:rsidRDefault="00260E5D" w:rsidP="00DE4BFE">
            <w:pPr>
              <w:jc w:val="both"/>
              <w:rPr>
                <w:rFonts w:ascii="Avenir Next LT Pro" w:hAnsi="Avenir Next LT Pro"/>
                <w:sz w:val="24"/>
                <w:szCs w:val="24"/>
              </w:rPr>
            </w:pPr>
            <w:r>
              <w:rPr>
                <w:rFonts w:ascii="Avenir Next LT Pro" w:hAnsi="Avenir Next LT Pro"/>
                <w:sz w:val="24"/>
                <w:szCs w:val="24"/>
              </w:rPr>
              <w:t>BPF/PT</w:t>
            </w:r>
          </w:p>
        </w:tc>
        <w:tc>
          <w:tcPr>
            <w:tcW w:w="7366" w:type="dxa"/>
            <w:shd w:val="clear" w:color="auto" w:fill="FFFF00"/>
          </w:tcPr>
          <w:p w14:paraId="04D68622" w14:textId="49B52DF6" w:rsidR="00260E5D" w:rsidRPr="00393018" w:rsidRDefault="00260E5D" w:rsidP="00C724AE">
            <w:pPr>
              <w:jc w:val="both"/>
              <w:rPr>
                <w:rFonts w:ascii="Avenir Next LT Pro" w:hAnsi="Avenir Next LT Pro" w:cs="Arial"/>
                <w:sz w:val="24"/>
                <w:szCs w:val="24"/>
              </w:rPr>
            </w:pPr>
            <w:r>
              <w:rPr>
                <w:rFonts w:ascii="Avenir Next LT Pro" w:hAnsi="Avenir Next LT Pro" w:cs="Arial"/>
                <w:sz w:val="24"/>
                <w:szCs w:val="24"/>
              </w:rPr>
              <w:t>About to pass the PA</w:t>
            </w:r>
          </w:p>
        </w:tc>
      </w:tr>
      <w:tr w:rsidR="000A0E0D" w:rsidRPr="00DE4BFE" w14:paraId="1F5D3E94" w14:textId="77777777" w:rsidTr="00310B90">
        <w:tc>
          <w:tcPr>
            <w:tcW w:w="1696" w:type="dxa"/>
            <w:shd w:val="clear" w:color="auto" w:fill="00FFFF"/>
          </w:tcPr>
          <w:p w14:paraId="46D386E0" w14:textId="4C5595F0" w:rsidR="000A0E0D" w:rsidRPr="00DE4BFE" w:rsidRDefault="00310B90" w:rsidP="00DE4BFE">
            <w:pPr>
              <w:jc w:val="both"/>
              <w:rPr>
                <w:rFonts w:ascii="Avenir Next LT Pro" w:hAnsi="Avenir Next LT Pro"/>
                <w:sz w:val="24"/>
                <w:szCs w:val="24"/>
              </w:rPr>
            </w:pPr>
            <w:r>
              <w:rPr>
                <w:rFonts w:ascii="Avenir Next LT Pro" w:hAnsi="Avenir Next LT Pro"/>
                <w:sz w:val="24"/>
                <w:szCs w:val="24"/>
              </w:rPr>
              <w:t>INVEGA/LT</w:t>
            </w:r>
          </w:p>
        </w:tc>
        <w:tc>
          <w:tcPr>
            <w:tcW w:w="7366" w:type="dxa"/>
            <w:shd w:val="clear" w:color="auto" w:fill="00FFFF"/>
          </w:tcPr>
          <w:p w14:paraId="3BEA1CBC" w14:textId="428F5E01" w:rsidR="000A0E0D" w:rsidRPr="00310B90" w:rsidRDefault="00310B90" w:rsidP="00C724AE">
            <w:pPr>
              <w:jc w:val="both"/>
              <w:rPr>
                <w:rFonts w:ascii="Avenir Next LT Pro" w:hAnsi="Avenir Next LT Pro"/>
                <w:sz w:val="24"/>
                <w:szCs w:val="24"/>
                <w:lang w:val="lt-LT"/>
              </w:rPr>
            </w:pPr>
            <w:r w:rsidRPr="00310B90">
              <w:rPr>
                <w:rFonts w:ascii="Avenir Next LT Pro" w:hAnsi="Avenir Next LT Pro"/>
                <w:sz w:val="24"/>
                <w:szCs w:val="24"/>
                <w:lang w:val="lt-LT"/>
              </w:rPr>
              <w:t>This is just to inform you, that INVEGA has started the process of pre-assessment before moving forward with the real Pillar Assessment, which is going to be done after the pre-assessment is finnished. So, we are in the process and should have the Pillar Assessment finalized in the first half of 2022 (at least we hope so).</w:t>
            </w:r>
          </w:p>
        </w:tc>
      </w:tr>
      <w:tr w:rsidR="00B16A77" w:rsidRPr="00DE4BFE" w14:paraId="40A6680E" w14:textId="77777777" w:rsidTr="00310B90">
        <w:tc>
          <w:tcPr>
            <w:tcW w:w="1696" w:type="dxa"/>
            <w:shd w:val="clear" w:color="auto" w:fill="00FFFF"/>
          </w:tcPr>
          <w:p w14:paraId="06B12550" w14:textId="17BDBF6B" w:rsidR="00B16A77" w:rsidRDefault="00B16A77" w:rsidP="00DE4BFE">
            <w:pPr>
              <w:jc w:val="both"/>
              <w:rPr>
                <w:rFonts w:ascii="Avenir Next LT Pro" w:hAnsi="Avenir Next LT Pro"/>
                <w:sz w:val="24"/>
                <w:szCs w:val="24"/>
              </w:rPr>
            </w:pPr>
            <w:r>
              <w:rPr>
                <w:rFonts w:ascii="Avenir Next LT Pro" w:hAnsi="Avenir Next LT Pro"/>
                <w:sz w:val="24"/>
                <w:szCs w:val="24"/>
              </w:rPr>
              <w:t>MDB/MT</w:t>
            </w:r>
          </w:p>
        </w:tc>
        <w:tc>
          <w:tcPr>
            <w:tcW w:w="7366" w:type="dxa"/>
            <w:shd w:val="clear" w:color="auto" w:fill="00FFFF"/>
          </w:tcPr>
          <w:p w14:paraId="54F11B05" w14:textId="463F88CD" w:rsidR="00B16A77" w:rsidRPr="00B16A77" w:rsidRDefault="00B16A77" w:rsidP="00C724AE">
            <w:pPr>
              <w:jc w:val="both"/>
              <w:rPr>
                <w:rFonts w:ascii="Avenir Next LT Pro" w:hAnsi="Avenir Next LT Pro"/>
                <w:sz w:val="24"/>
                <w:szCs w:val="24"/>
              </w:rPr>
            </w:pPr>
            <w:r w:rsidRPr="00B16A77">
              <w:rPr>
                <w:rFonts w:ascii="Avenir Next LT Pro" w:hAnsi="Avenir Next LT Pro"/>
                <w:sz w:val="24"/>
                <w:szCs w:val="24"/>
              </w:rPr>
              <w:t>Re our PA process, earlier this year the European Commission informed the Bank that they have positively considered the application of the MDB to launch the PA. We are currently in the final selection process of appointing an auditing company to conduct the PA.</w:t>
            </w:r>
          </w:p>
        </w:tc>
      </w:tr>
      <w:tr w:rsidR="00C724AE" w:rsidRPr="00DE4BFE" w14:paraId="410F0780" w14:textId="77777777" w:rsidTr="00310B90">
        <w:tc>
          <w:tcPr>
            <w:tcW w:w="1696" w:type="dxa"/>
            <w:shd w:val="clear" w:color="auto" w:fill="00FFFF"/>
          </w:tcPr>
          <w:p w14:paraId="236F3809" w14:textId="203D22F5" w:rsidR="00C724AE" w:rsidRDefault="00C724AE" w:rsidP="00DE4BFE">
            <w:pPr>
              <w:jc w:val="both"/>
              <w:rPr>
                <w:rFonts w:ascii="Avenir Next LT Pro" w:hAnsi="Avenir Next LT Pro"/>
                <w:sz w:val="24"/>
                <w:szCs w:val="24"/>
              </w:rPr>
            </w:pPr>
            <w:r>
              <w:rPr>
                <w:rFonts w:ascii="Avenir Next LT Pro" w:hAnsi="Avenir Next LT Pro"/>
                <w:sz w:val="24"/>
                <w:szCs w:val="24"/>
              </w:rPr>
              <w:t>FNGCIMM/RO</w:t>
            </w:r>
          </w:p>
        </w:tc>
        <w:tc>
          <w:tcPr>
            <w:tcW w:w="7366" w:type="dxa"/>
            <w:shd w:val="clear" w:color="auto" w:fill="00FFFF"/>
          </w:tcPr>
          <w:p w14:paraId="49DBC53C" w14:textId="77777777" w:rsidR="00C724AE" w:rsidRPr="00C724AE" w:rsidRDefault="00C724AE" w:rsidP="00C724AE">
            <w:pPr>
              <w:jc w:val="both"/>
              <w:rPr>
                <w:rFonts w:ascii="Avenir Next LT Pro" w:hAnsi="Avenir Next LT Pro"/>
                <w:sz w:val="24"/>
                <w:szCs w:val="24"/>
              </w:rPr>
            </w:pPr>
            <w:r w:rsidRPr="00C724AE">
              <w:rPr>
                <w:rFonts w:ascii="Avenir Next LT Pro" w:hAnsi="Avenir Next LT Pro"/>
                <w:sz w:val="24"/>
                <w:szCs w:val="24"/>
              </w:rPr>
              <w:t xml:space="preserve">As a reply to your e-mail below, referring to the state of accomplishment of the </w:t>
            </w:r>
            <w:proofErr w:type="spellStart"/>
            <w:r w:rsidRPr="00C724AE">
              <w:rPr>
                <w:rFonts w:ascii="Avenir Next LT Pro" w:hAnsi="Avenir Next LT Pro"/>
                <w:sz w:val="24"/>
                <w:szCs w:val="24"/>
              </w:rPr>
              <w:t>InvestEU</w:t>
            </w:r>
            <w:proofErr w:type="spellEnd"/>
            <w:r w:rsidRPr="00C724AE">
              <w:rPr>
                <w:rFonts w:ascii="Avenir Next LT Pro" w:hAnsi="Avenir Next LT Pro"/>
                <w:sz w:val="24"/>
                <w:szCs w:val="24"/>
              </w:rPr>
              <w:t xml:space="preserve"> pillar assessment, we can answer that FNGCIMM S.A.-IFN has just started the pillar assessment but did not finalise it yet.</w:t>
            </w:r>
          </w:p>
          <w:p w14:paraId="0F2A7454" w14:textId="77777777" w:rsidR="00C724AE" w:rsidRPr="00C724AE" w:rsidRDefault="00C724AE" w:rsidP="00C724AE">
            <w:pPr>
              <w:jc w:val="both"/>
              <w:rPr>
                <w:rFonts w:ascii="Avenir Next LT Pro" w:hAnsi="Avenir Next LT Pro"/>
                <w:sz w:val="24"/>
                <w:szCs w:val="24"/>
              </w:rPr>
            </w:pPr>
            <w:r w:rsidRPr="00C724AE">
              <w:rPr>
                <w:rFonts w:ascii="Avenir Next LT Pro" w:hAnsi="Avenir Next LT Pro"/>
                <w:sz w:val="24"/>
                <w:szCs w:val="24"/>
              </w:rPr>
              <w:t xml:space="preserve">To be more specific, we have to say that FNGCIMM is about to end the process through which it is contracted an </w:t>
            </w:r>
            <w:r w:rsidRPr="00C724AE">
              <w:rPr>
                <w:rFonts w:ascii="Avenir Next LT Pro" w:hAnsi="Avenir Next LT Pro"/>
                <w:sz w:val="24"/>
                <w:szCs w:val="24"/>
              </w:rPr>
              <w:lastRenderedPageBreak/>
              <w:t>external independent auditor and manage the pillar assessment in accordance with the “Terms</w:t>
            </w:r>
          </w:p>
          <w:p w14:paraId="7CC58868" w14:textId="6ABD72B6" w:rsidR="00C724AE" w:rsidRPr="00B16A77" w:rsidRDefault="00C724AE" w:rsidP="00C724AE">
            <w:pPr>
              <w:jc w:val="both"/>
              <w:rPr>
                <w:rFonts w:ascii="Avenir Next LT Pro" w:hAnsi="Avenir Next LT Pro"/>
                <w:sz w:val="24"/>
                <w:szCs w:val="24"/>
              </w:rPr>
            </w:pPr>
            <w:r w:rsidRPr="00C724AE">
              <w:rPr>
                <w:rFonts w:ascii="Avenir Next LT Pro" w:hAnsi="Avenir Next LT Pro"/>
                <w:sz w:val="24"/>
                <w:szCs w:val="24"/>
              </w:rPr>
              <w:t xml:space="preserve">of Reference for a pillar assessment of an entity requesting to be entrusted with implementation of the EU budget under indirect management”, annexed to Commission Decision </w:t>
            </w:r>
            <w:proofErr w:type="gramStart"/>
            <w:r w:rsidRPr="00C724AE">
              <w:rPr>
                <w:rFonts w:ascii="Avenir Next LT Pro" w:hAnsi="Avenir Next LT Pro"/>
                <w:sz w:val="24"/>
                <w:szCs w:val="24"/>
              </w:rPr>
              <w:t>C(</w:t>
            </w:r>
            <w:proofErr w:type="gramEnd"/>
            <w:r w:rsidRPr="00C724AE">
              <w:rPr>
                <w:rFonts w:ascii="Avenir Next LT Pro" w:hAnsi="Avenir Next LT Pro"/>
                <w:sz w:val="24"/>
                <w:szCs w:val="24"/>
              </w:rPr>
              <w:t>2019) 2882 final of 17 April 2019.</w:t>
            </w:r>
          </w:p>
        </w:tc>
      </w:tr>
      <w:tr w:rsidR="00566B93" w:rsidRPr="00DE4BFE" w14:paraId="54725D85" w14:textId="77777777" w:rsidTr="00310B90">
        <w:tc>
          <w:tcPr>
            <w:tcW w:w="1696" w:type="dxa"/>
            <w:shd w:val="clear" w:color="auto" w:fill="00FFFF"/>
          </w:tcPr>
          <w:p w14:paraId="083EF97B" w14:textId="4758B015" w:rsidR="00566B93" w:rsidRDefault="00566B93" w:rsidP="00DE4BFE">
            <w:pPr>
              <w:jc w:val="both"/>
              <w:rPr>
                <w:rFonts w:ascii="Avenir Next LT Pro" w:hAnsi="Avenir Next LT Pro"/>
                <w:sz w:val="24"/>
                <w:szCs w:val="24"/>
              </w:rPr>
            </w:pPr>
            <w:r>
              <w:rPr>
                <w:rFonts w:ascii="Avenir Next LT Pro" w:hAnsi="Avenir Next LT Pro"/>
                <w:sz w:val="24"/>
                <w:szCs w:val="24"/>
              </w:rPr>
              <w:lastRenderedPageBreak/>
              <w:t>FRC/RO</w:t>
            </w:r>
          </w:p>
        </w:tc>
        <w:tc>
          <w:tcPr>
            <w:tcW w:w="7366" w:type="dxa"/>
            <w:shd w:val="clear" w:color="auto" w:fill="00FFFF"/>
          </w:tcPr>
          <w:p w14:paraId="72F5A2C5" w14:textId="517E908E" w:rsidR="00566B93" w:rsidRPr="00C724AE" w:rsidRDefault="00566B93" w:rsidP="00C724AE">
            <w:pPr>
              <w:jc w:val="both"/>
              <w:rPr>
                <w:rFonts w:ascii="Avenir Next LT Pro" w:hAnsi="Avenir Next LT Pro"/>
                <w:sz w:val="24"/>
                <w:szCs w:val="24"/>
              </w:rPr>
            </w:pPr>
            <w:r>
              <w:rPr>
                <w:rFonts w:ascii="Avenir Next LT Pro" w:hAnsi="Avenir Next LT Pro"/>
                <w:sz w:val="24"/>
                <w:szCs w:val="24"/>
              </w:rPr>
              <w:t>Pillar assessment ongoing.</w:t>
            </w:r>
          </w:p>
        </w:tc>
      </w:tr>
    </w:tbl>
    <w:p w14:paraId="554E16C6" w14:textId="41C8678F" w:rsidR="000A0E0D" w:rsidRDefault="000A0E0D" w:rsidP="00DE4BFE">
      <w:pPr>
        <w:jc w:val="both"/>
        <w:rPr>
          <w:rFonts w:ascii="Avenir Next LT Pro" w:hAnsi="Avenir Next LT Pro"/>
        </w:rPr>
      </w:pPr>
    </w:p>
    <w:p w14:paraId="4039C0F3" w14:textId="6ED0BFDE" w:rsidR="00CC0168" w:rsidRDefault="00CC0168" w:rsidP="00DE4BFE">
      <w:pPr>
        <w:jc w:val="both"/>
        <w:rPr>
          <w:rFonts w:ascii="Avenir Next LT Pro" w:hAnsi="Avenir Next LT Pro"/>
        </w:rPr>
      </w:pPr>
    </w:p>
    <w:p w14:paraId="595DA35B" w14:textId="7850AFB3" w:rsidR="00CC0168" w:rsidRDefault="00CC0168" w:rsidP="00DE4BFE">
      <w:pPr>
        <w:jc w:val="both"/>
        <w:rPr>
          <w:rFonts w:ascii="Avenir Next LT Pro" w:hAnsi="Avenir Next LT Pro"/>
        </w:rPr>
      </w:pPr>
    </w:p>
    <w:p w14:paraId="4A715778" w14:textId="793570BB" w:rsidR="00CC0168" w:rsidRDefault="00CC0168" w:rsidP="00DE4BFE">
      <w:pPr>
        <w:jc w:val="both"/>
        <w:rPr>
          <w:rFonts w:ascii="Avenir Next LT Pro" w:hAnsi="Avenir Next LT Pro"/>
        </w:rPr>
      </w:pPr>
    </w:p>
    <w:p w14:paraId="1232A37B" w14:textId="3BB66EBD" w:rsidR="00CC0168" w:rsidRDefault="00CC0168" w:rsidP="00DE4BFE">
      <w:pPr>
        <w:jc w:val="both"/>
        <w:rPr>
          <w:rFonts w:ascii="Avenir Next LT Pro" w:hAnsi="Avenir Next LT Pro"/>
        </w:rPr>
      </w:pPr>
    </w:p>
    <w:p w14:paraId="60C32652" w14:textId="39A1F394" w:rsidR="00CC0168" w:rsidRDefault="00CC0168" w:rsidP="00DE4BFE">
      <w:pPr>
        <w:jc w:val="both"/>
        <w:rPr>
          <w:rFonts w:ascii="Avenir Next LT Pro" w:hAnsi="Avenir Next LT Pro"/>
        </w:rPr>
      </w:pPr>
    </w:p>
    <w:p w14:paraId="150A3BCD" w14:textId="44A4E271" w:rsidR="00CC0168" w:rsidRDefault="00CC0168" w:rsidP="00DE4BFE">
      <w:pPr>
        <w:jc w:val="both"/>
        <w:rPr>
          <w:rFonts w:ascii="Avenir Next LT Pro" w:hAnsi="Avenir Next LT Pro"/>
        </w:rPr>
      </w:pPr>
    </w:p>
    <w:p w14:paraId="048FE105" w14:textId="1EB839BC" w:rsidR="00CC0168" w:rsidRDefault="00CC0168" w:rsidP="00DE4BFE">
      <w:pPr>
        <w:jc w:val="both"/>
        <w:rPr>
          <w:rFonts w:ascii="Avenir Next LT Pro" w:hAnsi="Avenir Next LT Pro"/>
        </w:rPr>
      </w:pPr>
    </w:p>
    <w:p w14:paraId="1C8BAEA0" w14:textId="35B6F4FC" w:rsidR="00CC0168" w:rsidRDefault="00CC0168" w:rsidP="00DE4BFE">
      <w:pPr>
        <w:jc w:val="both"/>
        <w:rPr>
          <w:rFonts w:ascii="Avenir Next LT Pro" w:hAnsi="Avenir Next LT Pro"/>
        </w:rPr>
      </w:pPr>
    </w:p>
    <w:p w14:paraId="46E13E9D" w14:textId="4A2BE96C" w:rsidR="00CC0168" w:rsidRDefault="00CC0168" w:rsidP="00DE4BFE">
      <w:pPr>
        <w:jc w:val="both"/>
        <w:rPr>
          <w:rFonts w:ascii="Avenir Next LT Pro" w:hAnsi="Avenir Next LT Pro"/>
        </w:rPr>
      </w:pPr>
    </w:p>
    <w:p w14:paraId="11A6ACA7" w14:textId="423A4308" w:rsidR="00CC0168" w:rsidRDefault="00CC0168" w:rsidP="00DE4BFE">
      <w:pPr>
        <w:jc w:val="both"/>
        <w:rPr>
          <w:rFonts w:ascii="Avenir Next LT Pro" w:hAnsi="Avenir Next LT Pro"/>
        </w:rPr>
      </w:pPr>
    </w:p>
    <w:p w14:paraId="502A64DE" w14:textId="056C861F" w:rsidR="00CC0168" w:rsidRDefault="00CC0168" w:rsidP="00DE4BFE">
      <w:pPr>
        <w:jc w:val="both"/>
        <w:rPr>
          <w:rFonts w:ascii="Avenir Next LT Pro" w:hAnsi="Avenir Next LT Pro"/>
        </w:rPr>
      </w:pPr>
    </w:p>
    <w:p w14:paraId="2F621533" w14:textId="60D4195F" w:rsidR="00CC0168" w:rsidRDefault="00CC0168" w:rsidP="00DE4BFE">
      <w:pPr>
        <w:jc w:val="both"/>
        <w:rPr>
          <w:rFonts w:ascii="Avenir Next LT Pro" w:hAnsi="Avenir Next LT Pro"/>
        </w:rPr>
      </w:pPr>
    </w:p>
    <w:p w14:paraId="43DE352B" w14:textId="3EAA7C6D" w:rsidR="00CC0168" w:rsidRDefault="00CC0168" w:rsidP="00DE4BFE">
      <w:pPr>
        <w:jc w:val="both"/>
        <w:rPr>
          <w:rFonts w:ascii="Avenir Next LT Pro" w:hAnsi="Avenir Next LT Pro"/>
        </w:rPr>
      </w:pPr>
    </w:p>
    <w:p w14:paraId="2D743837" w14:textId="5E9D6EEB" w:rsidR="00CC0168" w:rsidRDefault="00CC0168" w:rsidP="00DE4BFE">
      <w:pPr>
        <w:jc w:val="both"/>
        <w:rPr>
          <w:rFonts w:ascii="Avenir Next LT Pro" w:hAnsi="Avenir Next LT Pro"/>
        </w:rPr>
      </w:pPr>
    </w:p>
    <w:p w14:paraId="58B51E83" w14:textId="37606C12" w:rsidR="00CC0168" w:rsidRDefault="00CC0168" w:rsidP="00DE4BFE">
      <w:pPr>
        <w:jc w:val="both"/>
        <w:rPr>
          <w:rFonts w:ascii="Avenir Next LT Pro" w:hAnsi="Avenir Next LT Pro"/>
        </w:rPr>
      </w:pPr>
    </w:p>
    <w:p w14:paraId="091EB846" w14:textId="7A8FFEB6" w:rsidR="00CC0168" w:rsidRDefault="00CC0168" w:rsidP="00DE4BFE">
      <w:pPr>
        <w:jc w:val="both"/>
        <w:rPr>
          <w:rFonts w:ascii="Avenir Next LT Pro" w:hAnsi="Avenir Next LT Pro"/>
        </w:rPr>
      </w:pPr>
    </w:p>
    <w:p w14:paraId="012B8F8C" w14:textId="7F2E920C" w:rsidR="00CC0168" w:rsidRDefault="00CC0168" w:rsidP="00DE4BFE">
      <w:pPr>
        <w:jc w:val="both"/>
        <w:rPr>
          <w:rFonts w:ascii="Avenir Next LT Pro" w:hAnsi="Avenir Next LT Pro"/>
        </w:rPr>
      </w:pPr>
    </w:p>
    <w:p w14:paraId="38A5CC4C" w14:textId="4B9B613E" w:rsidR="00CC0168" w:rsidRDefault="00CC0168" w:rsidP="00DE4BFE">
      <w:pPr>
        <w:jc w:val="both"/>
        <w:rPr>
          <w:rFonts w:ascii="Avenir Next LT Pro" w:hAnsi="Avenir Next LT Pro"/>
        </w:rPr>
      </w:pPr>
    </w:p>
    <w:p w14:paraId="22EE5500" w14:textId="2C3FB3CC" w:rsidR="00CC0168" w:rsidRDefault="00CC0168" w:rsidP="00DE4BFE">
      <w:pPr>
        <w:jc w:val="both"/>
        <w:rPr>
          <w:rFonts w:ascii="Avenir Next LT Pro" w:hAnsi="Avenir Next LT Pro"/>
        </w:rPr>
      </w:pPr>
    </w:p>
    <w:p w14:paraId="22E167F0" w14:textId="3C5D18F6" w:rsidR="00CC0168" w:rsidRDefault="00CC0168" w:rsidP="00DE4BFE">
      <w:pPr>
        <w:jc w:val="both"/>
        <w:rPr>
          <w:rFonts w:ascii="Avenir Next LT Pro" w:hAnsi="Avenir Next LT Pro"/>
        </w:rPr>
      </w:pPr>
    </w:p>
    <w:p w14:paraId="5A9366BD" w14:textId="63D9448A" w:rsidR="00CC0168" w:rsidRDefault="00CC0168" w:rsidP="00DE4BFE">
      <w:pPr>
        <w:jc w:val="both"/>
        <w:rPr>
          <w:rFonts w:ascii="Avenir Next LT Pro" w:hAnsi="Avenir Next LT Pro"/>
        </w:rPr>
      </w:pPr>
    </w:p>
    <w:p w14:paraId="212740D8" w14:textId="79EF68B8" w:rsidR="00CC0168" w:rsidRDefault="00CC0168" w:rsidP="00DE4BFE">
      <w:pPr>
        <w:jc w:val="both"/>
        <w:rPr>
          <w:rFonts w:ascii="Avenir Next LT Pro" w:hAnsi="Avenir Next LT Pro"/>
        </w:rPr>
      </w:pPr>
    </w:p>
    <w:p w14:paraId="70915B45" w14:textId="13674CCC" w:rsidR="00CC0168" w:rsidRDefault="00CC0168" w:rsidP="00DE4BFE">
      <w:pPr>
        <w:jc w:val="both"/>
        <w:rPr>
          <w:rFonts w:ascii="Avenir Next LT Pro" w:hAnsi="Avenir Next LT Pro"/>
        </w:rPr>
      </w:pPr>
    </w:p>
    <w:p w14:paraId="7CF9E2C8" w14:textId="197E0719" w:rsidR="00CC0168" w:rsidRDefault="00CC0168" w:rsidP="00DE4BFE">
      <w:pPr>
        <w:jc w:val="both"/>
        <w:rPr>
          <w:rFonts w:ascii="Avenir Next LT Pro" w:hAnsi="Avenir Next LT Pro"/>
        </w:rPr>
      </w:pPr>
    </w:p>
    <w:p w14:paraId="12E3080D" w14:textId="2AB89684" w:rsidR="00CC0168" w:rsidRDefault="00CC0168" w:rsidP="00DE4BFE">
      <w:pPr>
        <w:jc w:val="both"/>
        <w:rPr>
          <w:rFonts w:ascii="Avenir Next LT Pro" w:hAnsi="Avenir Next LT Pro"/>
        </w:rPr>
      </w:pPr>
    </w:p>
    <w:p w14:paraId="60FFA11A" w14:textId="3F4B629C" w:rsidR="00CC0168" w:rsidRPr="00DE4BFE" w:rsidRDefault="00CC0168" w:rsidP="00DE4BFE">
      <w:pPr>
        <w:jc w:val="both"/>
        <w:rPr>
          <w:rFonts w:ascii="Avenir Next LT Pro" w:hAnsi="Avenir Next LT Pro"/>
        </w:rPr>
      </w:pPr>
      <w:r>
        <w:rPr>
          <w:rFonts w:ascii="Avenir Next LT Pro" w:hAnsi="Avenir Next LT Pro"/>
        </w:rPr>
        <w:t>Brussels, October 2021</w:t>
      </w:r>
    </w:p>
    <w:sectPr w:rsidR="00CC0168" w:rsidRPr="00DE4B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0D"/>
    <w:rsid w:val="000A0E0D"/>
    <w:rsid w:val="0021763A"/>
    <w:rsid w:val="00260E5D"/>
    <w:rsid w:val="00300F29"/>
    <w:rsid w:val="00310B90"/>
    <w:rsid w:val="00393018"/>
    <w:rsid w:val="003E7FB5"/>
    <w:rsid w:val="00461BBB"/>
    <w:rsid w:val="004C5DF6"/>
    <w:rsid w:val="00566B93"/>
    <w:rsid w:val="007D3493"/>
    <w:rsid w:val="00882E69"/>
    <w:rsid w:val="009D0B06"/>
    <w:rsid w:val="009F3791"/>
    <w:rsid w:val="00A44009"/>
    <w:rsid w:val="00AF68BE"/>
    <w:rsid w:val="00B16A77"/>
    <w:rsid w:val="00B600AE"/>
    <w:rsid w:val="00B7062C"/>
    <w:rsid w:val="00C724AE"/>
    <w:rsid w:val="00CC0168"/>
    <w:rsid w:val="00D927B5"/>
    <w:rsid w:val="00DA4119"/>
    <w:rsid w:val="00DE4BFE"/>
    <w:rsid w:val="00F056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4B70"/>
  <w15:chartTrackingRefBased/>
  <w15:docId w15:val="{3E77A12B-E00D-491E-BAA4-1CFA9D14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41588">
      <w:bodyDiv w:val="1"/>
      <w:marLeft w:val="0"/>
      <w:marRight w:val="0"/>
      <w:marTop w:val="0"/>
      <w:marBottom w:val="0"/>
      <w:divBdr>
        <w:top w:val="none" w:sz="0" w:space="0" w:color="auto"/>
        <w:left w:val="none" w:sz="0" w:space="0" w:color="auto"/>
        <w:bottom w:val="none" w:sz="0" w:space="0" w:color="auto"/>
        <w:right w:val="none" w:sz="0" w:space="0" w:color="auto"/>
      </w:divBdr>
    </w:div>
    <w:div w:id="215551303">
      <w:bodyDiv w:val="1"/>
      <w:marLeft w:val="0"/>
      <w:marRight w:val="0"/>
      <w:marTop w:val="0"/>
      <w:marBottom w:val="0"/>
      <w:divBdr>
        <w:top w:val="none" w:sz="0" w:space="0" w:color="auto"/>
        <w:left w:val="none" w:sz="0" w:space="0" w:color="auto"/>
        <w:bottom w:val="none" w:sz="0" w:space="0" w:color="auto"/>
        <w:right w:val="none" w:sz="0" w:space="0" w:color="auto"/>
      </w:divBdr>
    </w:div>
    <w:div w:id="356006606">
      <w:bodyDiv w:val="1"/>
      <w:marLeft w:val="0"/>
      <w:marRight w:val="0"/>
      <w:marTop w:val="0"/>
      <w:marBottom w:val="0"/>
      <w:divBdr>
        <w:top w:val="none" w:sz="0" w:space="0" w:color="auto"/>
        <w:left w:val="none" w:sz="0" w:space="0" w:color="auto"/>
        <w:bottom w:val="none" w:sz="0" w:space="0" w:color="auto"/>
        <w:right w:val="none" w:sz="0" w:space="0" w:color="auto"/>
      </w:divBdr>
    </w:div>
    <w:div w:id="422260773">
      <w:bodyDiv w:val="1"/>
      <w:marLeft w:val="0"/>
      <w:marRight w:val="0"/>
      <w:marTop w:val="0"/>
      <w:marBottom w:val="0"/>
      <w:divBdr>
        <w:top w:val="none" w:sz="0" w:space="0" w:color="auto"/>
        <w:left w:val="none" w:sz="0" w:space="0" w:color="auto"/>
        <w:bottom w:val="none" w:sz="0" w:space="0" w:color="auto"/>
        <w:right w:val="none" w:sz="0" w:space="0" w:color="auto"/>
      </w:divBdr>
    </w:div>
    <w:div w:id="739669552">
      <w:bodyDiv w:val="1"/>
      <w:marLeft w:val="0"/>
      <w:marRight w:val="0"/>
      <w:marTop w:val="0"/>
      <w:marBottom w:val="0"/>
      <w:divBdr>
        <w:top w:val="none" w:sz="0" w:space="0" w:color="auto"/>
        <w:left w:val="none" w:sz="0" w:space="0" w:color="auto"/>
        <w:bottom w:val="none" w:sz="0" w:space="0" w:color="auto"/>
        <w:right w:val="none" w:sz="0" w:space="0" w:color="auto"/>
      </w:divBdr>
    </w:div>
    <w:div w:id="780535207">
      <w:bodyDiv w:val="1"/>
      <w:marLeft w:val="0"/>
      <w:marRight w:val="0"/>
      <w:marTop w:val="0"/>
      <w:marBottom w:val="0"/>
      <w:divBdr>
        <w:top w:val="none" w:sz="0" w:space="0" w:color="auto"/>
        <w:left w:val="none" w:sz="0" w:space="0" w:color="auto"/>
        <w:bottom w:val="none" w:sz="0" w:space="0" w:color="auto"/>
        <w:right w:val="none" w:sz="0" w:space="0" w:color="auto"/>
      </w:divBdr>
    </w:div>
    <w:div w:id="1040209816">
      <w:bodyDiv w:val="1"/>
      <w:marLeft w:val="0"/>
      <w:marRight w:val="0"/>
      <w:marTop w:val="0"/>
      <w:marBottom w:val="0"/>
      <w:divBdr>
        <w:top w:val="none" w:sz="0" w:space="0" w:color="auto"/>
        <w:left w:val="none" w:sz="0" w:space="0" w:color="auto"/>
        <w:bottom w:val="none" w:sz="0" w:space="0" w:color="auto"/>
        <w:right w:val="none" w:sz="0" w:space="0" w:color="auto"/>
      </w:divBdr>
    </w:div>
    <w:div w:id="1109547949">
      <w:bodyDiv w:val="1"/>
      <w:marLeft w:val="0"/>
      <w:marRight w:val="0"/>
      <w:marTop w:val="0"/>
      <w:marBottom w:val="0"/>
      <w:divBdr>
        <w:top w:val="none" w:sz="0" w:space="0" w:color="auto"/>
        <w:left w:val="none" w:sz="0" w:space="0" w:color="auto"/>
        <w:bottom w:val="none" w:sz="0" w:space="0" w:color="auto"/>
        <w:right w:val="none" w:sz="0" w:space="0" w:color="auto"/>
      </w:divBdr>
    </w:div>
    <w:div w:id="1292007462">
      <w:bodyDiv w:val="1"/>
      <w:marLeft w:val="0"/>
      <w:marRight w:val="0"/>
      <w:marTop w:val="0"/>
      <w:marBottom w:val="0"/>
      <w:divBdr>
        <w:top w:val="none" w:sz="0" w:space="0" w:color="auto"/>
        <w:left w:val="none" w:sz="0" w:space="0" w:color="auto"/>
        <w:bottom w:val="none" w:sz="0" w:space="0" w:color="auto"/>
        <w:right w:val="none" w:sz="0" w:space="0" w:color="auto"/>
      </w:divBdr>
    </w:div>
    <w:div w:id="1314598354">
      <w:bodyDiv w:val="1"/>
      <w:marLeft w:val="0"/>
      <w:marRight w:val="0"/>
      <w:marTop w:val="0"/>
      <w:marBottom w:val="0"/>
      <w:divBdr>
        <w:top w:val="none" w:sz="0" w:space="0" w:color="auto"/>
        <w:left w:val="none" w:sz="0" w:space="0" w:color="auto"/>
        <w:bottom w:val="none" w:sz="0" w:space="0" w:color="auto"/>
        <w:right w:val="none" w:sz="0" w:space="0" w:color="auto"/>
      </w:divBdr>
    </w:div>
    <w:div w:id="1534491261">
      <w:bodyDiv w:val="1"/>
      <w:marLeft w:val="0"/>
      <w:marRight w:val="0"/>
      <w:marTop w:val="0"/>
      <w:marBottom w:val="0"/>
      <w:divBdr>
        <w:top w:val="none" w:sz="0" w:space="0" w:color="auto"/>
        <w:left w:val="none" w:sz="0" w:space="0" w:color="auto"/>
        <w:bottom w:val="none" w:sz="0" w:space="0" w:color="auto"/>
        <w:right w:val="none" w:sz="0" w:space="0" w:color="auto"/>
      </w:divBdr>
    </w:div>
    <w:div w:id="202154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Haas</dc:creator>
  <cp:keywords/>
  <dc:description/>
  <cp:lastModifiedBy>Felix Haas</cp:lastModifiedBy>
  <cp:revision>2</cp:revision>
  <dcterms:created xsi:type="dcterms:W3CDTF">2021-10-26T14:25:00Z</dcterms:created>
  <dcterms:modified xsi:type="dcterms:W3CDTF">2021-10-26T14:25:00Z</dcterms:modified>
</cp:coreProperties>
</file>