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F80CB" w14:textId="77777777" w:rsidR="00820FD0" w:rsidRPr="00820FD0" w:rsidRDefault="00820FD0" w:rsidP="00820FD0">
      <w:pPr>
        <w:rPr>
          <w:rFonts w:ascii="Times New Roman" w:hAnsi="Times New Roman" w:cs="Times New Roman"/>
          <w:b/>
          <w:bCs/>
          <w:sz w:val="24"/>
          <w:szCs w:val="24"/>
        </w:rPr>
      </w:pPr>
      <w:r w:rsidRPr="00820FD0">
        <w:rPr>
          <w:rFonts w:ascii="Times New Roman" w:hAnsi="Times New Roman" w:cs="Times New Roman"/>
          <w:b/>
          <w:bCs/>
          <w:sz w:val="24"/>
          <w:szCs w:val="24"/>
        </w:rPr>
        <w:t xml:space="preserve">Bucharest, December 9, 2024 - Press release </w:t>
      </w:r>
    </w:p>
    <w:p w14:paraId="535CB074" w14:textId="03FFC138" w:rsidR="00820FD0" w:rsidRPr="00820FD0" w:rsidRDefault="00820FD0" w:rsidP="00820FD0">
      <w:pPr>
        <w:rPr>
          <w:rFonts w:ascii="Times New Roman" w:hAnsi="Times New Roman" w:cs="Times New Roman"/>
          <w:sz w:val="24"/>
          <w:szCs w:val="24"/>
        </w:rPr>
      </w:pPr>
      <w:r w:rsidRPr="00820FD0">
        <w:rPr>
          <w:rFonts w:ascii="Times New Roman" w:hAnsi="Times New Roman" w:cs="Times New Roman"/>
          <w:sz w:val="24"/>
          <w:szCs w:val="24"/>
        </w:rPr>
        <w:t>Fondul Român de Contragarantare SA: support for the Romanian entrepreneurial environment and individual beneficiaries eligible in government funding programs - 15 years of trust</w:t>
      </w:r>
    </w:p>
    <w:p w14:paraId="25EA41A3" w14:textId="1C910DE6" w:rsidR="00820FD0" w:rsidRPr="00820FD0" w:rsidRDefault="00820FD0" w:rsidP="00820FD0">
      <w:pPr>
        <w:rPr>
          <w:rFonts w:ascii="Times New Roman" w:hAnsi="Times New Roman" w:cs="Times New Roman"/>
          <w:sz w:val="24"/>
          <w:szCs w:val="24"/>
        </w:rPr>
      </w:pPr>
      <w:r>
        <w:rPr>
          <w:rFonts w:ascii="Times New Roman" w:hAnsi="Times New Roman" w:cs="Times New Roman"/>
          <w:sz w:val="24"/>
          <w:szCs w:val="24"/>
        </w:rPr>
        <w:t>During the global financial crisis on December 9, 2009</w:t>
      </w:r>
      <w:r w:rsidRPr="00820FD0">
        <w:rPr>
          <w:rFonts w:ascii="Times New Roman" w:hAnsi="Times New Roman" w:cs="Times New Roman"/>
          <w:sz w:val="24"/>
          <w:szCs w:val="24"/>
        </w:rPr>
        <w:t xml:space="preserve">, the Romanian Counterguarantee Fund SA (FRC) was established, a specialized financial institution incorporated as a joint stock company under Law 31/1990 and Law 123/2010 approving GEO 23/2009. The activity of FRC has </w:t>
      </w:r>
      <w:r>
        <w:rPr>
          <w:rFonts w:ascii="Times New Roman" w:hAnsi="Times New Roman" w:cs="Times New Roman"/>
          <w:sz w:val="24"/>
          <w:szCs w:val="24"/>
        </w:rPr>
        <w:t xml:space="preserve">a </w:t>
      </w:r>
      <w:r w:rsidRPr="00820FD0">
        <w:rPr>
          <w:rFonts w:ascii="Times New Roman" w:hAnsi="Times New Roman" w:cs="Times New Roman"/>
          <w:sz w:val="24"/>
          <w:szCs w:val="24"/>
        </w:rPr>
        <w:t xml:space="preserve">correspondence in practices recognized at </w:t>
      </w:r>
      <w:r>
        <w:rPr>
          <w:rFonts w:ascii="Times New Roman" w:hAnsi="Times New Roman" w:cs="Times New Roman"/>
          <w:sz w:val="24"/>
          <w:szCs w:val="24"/>
        </w:rPr>
        <w:t xml:space="preserve">the </w:t>
      </w:r>
      <w:r w:rsidRPr="00820FD0">
        <w:rPr>
          <w:rFonts w:ascii="Times New Roman" w:hAnsi="Times New Roman" w:cs="Times New Roman"/>
          <w:sz w:val="24"/>
          <w:szCs w:val="24"/>
        </w:rPr>
        <w:t>European level, promoted by AECM - European Association of Guarantee and Counter-guarantee Institutions, an organization of which FRC is a member since 2010. The company's mission was clear: to support and facilitate financing, i.e. obtaining bank loans for Romanian entrepreneurs/</w:t>
      </w:r>
      <w:r w:rsidR="00834B97">
        <w:rPr>
          <w:rFonts w:ascii="Times New Roman" w:hAnsi="Times New Roman" w:cs="Times New Roman"/>
          <w:sz w:val="24"/>
          <w:szCs w:val="24"/>
        </w:rPr>
        <w:t>S</w:t>
      </w:r>
      <w:r w:rsidRPr="00820FD0">
        <w:rPr>
          <w:rFonts w:ascii="Times New Roman" w:hAnsi="Times New Roman" w:cs="Times New Roman"/>
          <w:sz w:val="24"/>
          <w:szCs w:val="24"/>
        </w:rPr>
        <w:t xml:space="preserve">MEs affected by the crisis. </w:t>
      </w:r>
    </w:p>
    <w:p w14:paraId="26E4DF7C" w14:textId="77777777" w:rsidR="00820FD0" w:rsidRPr="00820FD0" w:rsidRDefault="00820FD0" w:rsidP="00820FD0">
      <w:pPr>
        <w:rPr>
          <w:rFonts w:ascii="Times New Roman" w:hAnsi="Times New Roman" w:cs="Times New Roman"/>
          <w:sz w:val="24"/>
          <w:szCs w:val="24"/>
        </w:rPr>
      </w:pPr>
    </w:p>
    <w:p w14:paraId="355E66A6" w14:textId="392AB5B6" w:rsidR="00820FD0" w:rsidRPr="00820FD0" w:rsidRDefault="00820FD0" w:rsidP="00820FD0">
      <w:pPr>
        <w:rPr>
          <w:rFonts w:ascii="Times New Roman" w:hAnsi="Times New Roman" w:cs="Times New Roman"/>
          <w:sz w:val="24"/>
          <w:szCs w:val="24"/>
        </w:rPr>
      </w:pPr>
      <w:r w:rsidRPr="00820FD0">
        <w:rPr>
          <w:rFonts w:ascii="Times New Roman" w:hAnsi="Times New Roman" w:cs="Times New Roman"/>
          <w:sz w:val="24"/>
          <w:szCs w:val="24"/>
        </w:rPr>
        <w:t xml:space="preserve">The support modality consisted </w:t>
      </w:r>
      <w:r>
        <w:rPr>
          <w:rFonts w:ascii="Times New Roman" w:hAnsi="Times New Roman" w:cs="Times New Roman"/>
          <w:sz w:val="24"/>
          <w:szCs w:val="24"/>
        </w:rPr>
        <w:t xml:space="preserve">of activating the guarantee-counter-guarantee mechanism in the framework of bank financing for the business environment, </w:t>
      </w:r>
      <w:r w:rsidRPr="00820FD0">
        <w:rPr>
          <w:rFonts w:ascii="Times New Roman" w:hAnsi="Times New Roman" w:cs="Times New Roman"/>
          <w:sz w:val="24"/>
          <w:szCs w:val="24"/>
        </w:rPr>
        <w:t xml:space="preserve">similar to the insurance-reinsurance mechanism. The Romanian Counter-guarantee Fund undertakes to take a significant percentage (up to 80%) of the guarantee risk assumed by the guarantee funds </w:t>
      </w:r>
      <w:r>
        <w:rPr>
          <w:rFonts w:ascii="Times New Roman" w:hAnsi="Times New Roman" w:cs="Times New Roman"/>
          <w:sz w:val="24"/>
          <w:szCs w:val="24"/>
        </w:rPr>
        <w:t>concerning</w:t>
      </w:r>
      <w:r w:rsidRPr="00820FD0">
        <w:rPr>
          <w:rFonts w:ascii="Times New Roman" w:hAnsi="Times New Roman" w:cs="Times New Roman"/>
          <w:sz w:val="24"/>
          <w:szCs w:val="24"/>
        </w:rPr>
        <w:t xml:space="preserve"> the financing banks. The guarantee-counter-guarantee mechanism generates benefits throughout the credit chain and has positive effects on the economy: </w:t>
      </w:r>
    </w:p>
    <w:p w14:paraId="0194B68A" w14:textId="77777777" w:rsidR="00820FD0" w:rsidRPr="00820FD0" w:rsidRDefault="00820FD0" w:rsidP="00820FD0">
      <w:pPr>
        <w:rPr>
          <w:rFonts w:ascii="Times New Roman" w:hAnsi="Times New Roman" w:cs="Times New Roman"/>
          <w:sz w:val="24"/>
          <w:szCs w:val="24"/>
        </w:rPr>
      </w:pPr>
      <w:r w:rsidRPr="00820FD0">
        <w:rPr>
          <w:rFonts w:ascii="Times New Roman" w:hAnsi="Times New Roman" w:cs="Times New Roman"/>
          <w:sz w:val="24"/>
          <w:szCs w:val="24"/>
        </w:rPr>
        <w:t>- Lower total financing costs - the entrepreneur pays lower total fees for the bank loan obtained;</w:t>
      </w:r>
    </w:p>
    <w:p w14:paraId="412B8381" w14:textId="77777777" w:rsidR="00820FD0" w:rsidRPr="00820FD0" w:rsidRDefault="00820FD0" w:rsidP="00820FD0">
      <w:pPr>
        <w:rPr>
          <w:rFonts w:ascii="Times New Roman" w:hAnsi="Times New Roman" w:cs="Times New Roman"/>
          <w:sz w:val="24"/>
          <w:szCs w:val="24"/>
        </w:rPr>
      </w:pPr>
      <w:r w:rsidRPr="00820FD0">
        <w:rPr>
          <w:rFonts w:ascii="Times New Roman" w:hAnsi="Times New Roman" w:cs="Times New Roman"/>
          <w:sz w:val="24"/>
          <w:szCs w:val="24"/>
        </w:rPr>
        <w:t>- Leverage effect - counter-guarantees allow guarantee funds to provide more guarantees, therefore more businesses can be supported to obtain bank financing;</w:t>
      </w:r>
    </w:p>
    <w:p w14:paraId="3D60CE9F" w14:textId="77777777" w:rsidR="00820FD0" w:rsidRPr="00820FD0" w:rsidRDefault="00820FD0" w:rsidP="00820FD0">
      <w:pPr>
        <w:rPr>
          <w:rFonts w:ascii="Times New Roman" w:hAnsi="Times New Roman" w:cs="Times New Roman"/>
          <w:sz w:val="24"/>
          <w:szCs w:val="24"/>
        </w:rPr>
      </w:pPr>
      <w:r w:rsidRPr="00820FD0">
        <w:rPr>
          <w:rFonts w:ascii="Times New Roman" w:hAnsi="Times New Roman" w:cs="Times New Roman"/>
          <w:sz w:val="24"/>
          <w:szCs w:val="24"/>
        </w:rPr>
        <w:t>- Banking system - the guarantee-counter-guarantee mechanism that takes credit risk increases the confidence of banking institutions and SMEs can obtain financing more easily;</w:t>
      </w:r>
    </w:p>
    <w:p w14:paraId="45E37823" w14:textId="3689DFAF" w:rsidR="00820FD0" w:rsidRPr="00820FD0" w:rsidRDefault="00820FD0" w:rsidP="00820FD0">
      <w:pPr>
        <w:rPr>
          <w:rFonts w:ascii="Times New Roman" w:hAnsi="Times New Roman" w:cs="Times New Roman"/>
          <w:sz w:val="24"/>
          <w:szCs w:val="24"/>
        </w:rPr>
      </w:pPr>
      <w:r w:rsidRPr="00820FD0">
        <w:rPr>
          <w:rFonts w:ascii="Times New Roman" w:hAnsi="Times New Roman" w:cs="Times New Roman"/>
          <w:sz w:val="24"/>
          <w:szCs w:val="24"/>
        </w:rPr>
        <w:t>- Indirect revenues to the budget - by activating the guarantee-counter-guarantee it is possible to maintain/create jobs in active businesses, which leads to revenues to the state budget through tax payments, VAT, etc.</w:t>
      </w:r>
    </w:p>
    <w:p w14:paraId="4284B067" w14:textId="77777777" w:rsidR="00820FD0" w:rsidRPr="00820FD0" w:rsidRDefault="00820FD0" w:rsidP="00820FD0">
      <w:pPr>
        <w:rPr>
          <w:rFonts w:ascii="Times New Roman" w:hAnsi="Times New Roman" w:cs="Times New Roman"/>
          <w:sz w:val="24"/>
          <w:szCs w:val="24"/>
        </w:rPr>
      </w:pPr>
    </w:p>
    <w:p w14:paraId="77704983" w14:textId="77777777" w:rsidR="00820FD0" w:rsidRPr="00820FD0" w:rsidRDefault="00820FD0" w:rsidP="00820FD0">
      <w:pPr>
        <w:rPr>
          <w:rFonts w:ascii="Times New Roman" w:hAnsi="Times New Roman" w:cs="Times New Roman"/>
          <w:sz w:val="24"/>
          <w:szCs w:val="24"/>
        </w:rPr>
      </w:pPr>
      <w:r w:rsidRPr="00820FD0">
        <w:rPr>
          <w:rFonts w:ascii="Times New Roman" w:hAnsi="Times New Roman" w:cs="Times New Roman"/>
          <w:sz w:val="24"/>
          <w:szCs w:val="24"/>
        </w:rPr>
        <w:t>Since 2018, the scope of FRC's activity has been diversified by the inclusion of the guarantee in the name and on account of the state in the portfolio of financial instruments used by the company. This has allowed the development of the activity and additional support for some categories of beneficiaries both legal entities and individual beneficiaries, in particular young people, students and families, under specific governmental financing programs.</w:t>
      </w:r>
    </w:p>
    <w:p w14:paraId="29C12E96" w14:textId="77777777" w:rsidR="00820FD0" w:rsidRPr="00820FD0" w:rsidRDefault="00820FD0" w:rsidP="00820FD0">
      <w:pPr>
        <w:rPr>
          <w:rFonts w:ascii="Times New Roman" w:hAnsi="Times New Roman" w:cs="Times New Roman"/>
          <w:sz w:val="24"/>
          <w:szCs w:val="24"/>
        </w:rPr>
      </w:pPr>
    </w:p>
    <w:p w14:paraId="7324FE0A" w14:textId="40490619" w:rsidR="00820FD0" w:rsidRPr="00820FD0" w:rsidRDefault="00820FD0" w:rsidP="00820FD0">
      <w:pPr>
        <w:rPr>
          <w:rFonts w:ascii="Times New Roman" w:hAnsi="Times New Roman" w:cs="Times New Roman"/>
          <w:sz w:val="24"/>
          <w:szCs w:val="24"/>
        </w:rPr>
      </w:pPr>
      <w:r w:rsidRPr="00820FD0">
        <w:rPr>
          <w:rFonts w:ascii="Times New Roman" w:hAnsi="Times New Roman" w:cs="Times New Roman"/>
          <w:sz w:val="24"/>
          <w:szCs w:val="24"/>
        </w:rPr>
        <w:t xml:space="preserve">Today, after 15 years of activity, the Romanian Counter-guarantee Fund would like to thank </w:t>
      </w:r>
      <w:r>
        <w:rPr>
          <w:rFonts w:ascii="Times New Roman" w:hAnsi="Times New Roman" w:cs="Times New Roman"/>
          <w:sz w:val="24"/>
          <w:szCs w:val="24"/>
        </w:rPr>
        <w:t>every</w:t>
      </w:r>
      <w:r w:rsidRPr="00820FD0">
        <w:rPr>
          <w:rFonts w:ascii="Times New Roman" w:hAnsi="Times New Roman" w:cs="Times New Roman"/>
          <w:sz w:val="24"/>
          <w:szCs w:val="24"/>
        </w:rPr>
        <w:t xml:space="preserve"> partner for their trust, its employees for their dedication and professionalism, as well as all the </w:t>
      </w:r>
      <w:r w:rsidRPr="00820FD0">
        <w:rPr>
          <w:rFonts w:ascii="Times New Roman" w:hAnsi="Times New Roman" w:cs="Times New Roman"/>
          <w:sz w:val="24"/>
          <w:szCs w:val="24"/>
        </w:rPr>
        <w:lastRenderedPageBreak/>
        <w:t>company's stakeholders who have supported the classic counter-guarantee-guarantee mechanism and the governmental financing - thus, the team of specialists has managed to grant in this time around 25,600 counter-guarantees and 15,000 state guarantees: #START-UPNATION, #INVEST, #IMMINVEST and #IMMPLUS, the components #GARANTCONSTRUCT, #CONSTRUCT PLUS, #INNOVATION, #INNOVATION PLUS, #FAMILYSTART and #STUDENTINVEST.</w:t>
      </w:r>
    </w:p>
    <w:p w14:paraId="395CF18E" w14:textId="33B999C2" w:rsidR="00CB0BAD" w:rsidRPr="006D7F10" w:rsidRDefault="00820FD0" w:rsidP="00820FD0">
      <w:pPr>
        <w:rPr>
          <w:rFonts w:ascii="Times New Roman" w:hAnsi="Times New Roman" w:cs="Times New Roman"/>
          <w:sz w:val="24"/>
          <w:szCs w:val="24"/>
        </w:rPr>
      </w:pPr>
      <w:r w:rsidRPr="00820FD0">
        <w:rPr>
          <w:rFonts w:ascii="Times New Roman" w:hAnsi="Times New Roman" w:cs="Times New Roman"/>
          <w:sz w:val="24"/>
          <w:szCs w:val="24"/>
        </w:rPr>
        <w:t>#FRC15ANIDEINCREDERE</w:t>
      </w:r>
    </w:p>
    <w:sectPr w:rsidR="00CB0BAD" w:rsidRPr="006D7F10" w:rsidSect="00F6105C">
      <w:headerReference w:type="default" r:id="rId7"/>
      <w:footerReference w:type="default" r:id="rId8"/>
      <w:pgSz w:w="12240" w:h="15840"/>
      <w:pgMar w:top="1440" w:right="1183" w:bottom="993"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1964D" w14:textId="77777777" w:rsidR="0071554C" w:rsidRDefault="0071554C" w:rsidP="00516AA2">
      <w:pPr>
        <w:spacing w:after="0" w:line="240" w:lineRule="auto"/>
      </w:pPr>
      <w:r>
        <w:separator/>
      </w:r>
    </w:p>
  </w:endnote>
  <w:endnote w:type="continuationSeparator" w:id="0">
    <w:p w14:paraId="5B2A3170" w14:textId="77777777" w:rsidR="0071554C" w:rsidRDefault="0071554C" w:rsidP="00516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B4EC" w14:textId="70925D8D" w:rsidR="00630CD6" w:rsidRPr="00630CD6" w:rsidRDefault="00630CD6" w:rsidP="00630CD6">
    <w:pPr>
      <w:spacing w:after="0" w:line="240" w:lineRule="auto"/>
      <w:ind w:right="20"/>
      <w:jc w:val="both"/>
      <w:rPr>
        <w:rFonts w:ascii="Times New Roman" w:eastAsia="Calibri" w:hAnsi="Times New Roman" w:cs="Times New Roman"/>
        <w:noProof/>
        <w:kern w:val="0"/>
        <w:lang w:eastAsia="ro-RO"/>
        <w14:ligatures w14:val="none"/>
      </w:rPr>
    </w:pPr>
    <w:r w:rsidRPr="00630CD6">
      <w:rPr>
        <w:rFonts w:ascii="Times New Roman" w:eastAsia="Calibri" w:hAnsi="Times New Roman" w:cs="Calibri"/>
        <w:b/>
        <w:color w:val="000000"/>
        <w:kern w:val="0"/>
        <w:u w:val="single"/>
        <w:lang w:eastAsia="ro-RO" w:bidi="ro-RO"/>
        <w14:ligatures w14:val="none"/>
      </w:rPr>
      <w:t>Contact:</w:t>
    </w:r>
    <w:r>
      <w:rPr>
        <w:rFonts w:ascii="Times New Roman" w:eastAsia="Calibri" w:hAnsi="Times New Roman" w:cs="Calibri"/>
        <w:b/>
        <w:color w:val="000000"/>
        <w:kern w:val="0"/>
        <w:u w:val="single"/>
        <w:lang w:eastAsia="ro-RO" w:bidi="ro-RO"/>
        <w14:ligatures w14:val="none"/>
      </w:rPr>
      <w:t xml:space="preserve"> </w:t>
    </w:r>
    <w:r w:rsidRPr="00630CD6">
      <w:rPr>
        <w:rFonts w:ascii="Times New Roman" w:eastAsia="Calibri" w:hAnsi="Times New Roman" w:cs="Times New Roman"/>
        <w:noProof/>
        <w:kern w:val="0"/>
        <w:lang w:eastAsia="ro-RO"/>
        <w14:ligatures w14:val="none"/>
      </w:rPr>
      <w:t>Tel: +40371.502.596; 597; 598</w:t>
    </w:r>
    <w:r>
      <w:rPr>
        <w:rFonts w:ascii="Times New Roman" w:eastAsia="Calibri" w:hAnsi="Times New Roman" w:cs="Times New Roman"/>
        <w:noProof/>
        <w:kern w:val="0"/>
        <w:lang w:eastAsia="ro-RO"/>
        <w14:ligatures w14:val="none"/>
      </w:rPr>
      <w:t xml:space="preserve"> </w:t>
    </w:r>
    <w:r w:rsidRPr="00630CD6">
      <w:rPr>
        <w:rFonts w:ascii="Times New Roman" w:eastAsia="Calibri" w:hAnsi="Times New Roman" w:cs="Times New Roman"/>
        <w:noProof/>
        <w:kern w:val="0"/>
        <w:lang w:eastAsia="ro-RO"/>
        <w14:ligatures w14:val="none"/>
      </w:rPr>
      <w:t>;</w:t>
    </w:r>
    <w:r>
      <w:rPr>
        <w:rFonts w:ascii="Times New Roman" w:eastAsia="Calibri" w:hAnsi="Times New Roman" w:cs="Times New Roman"/>
        <w:noProof/>
        <w:kern w:val="0"/>
        <w:lang w:eastAsia="ro-RO"/>
        <w14:ligatures w14:val="none"/>
      </w:rPr>
      <w:t xml:space="preserve"> </w:t>
    </w:r>
    <w:r w:rsidRPr="00630CD6">
      <w:rPr>
        <w:rFonts w:ascii="Times New Roman" w:eastAsia="Calibri" w:hAnsi="Times New Roman" w:cs="Times New Roman"/>
        <w:noProof/>
        <w:kern w:val="0"/>
        <w:lang w:eastAsia="ro-RO"/>
        <w14:ligatures w14:val="none"/>
      </w:rPr>
      <w:t xml:space="preserve">e-mail: </w:t>
    </w:r>
    <w:hyperlink r:id="rId1" w:history="1">
      <w:r w:rsidRPr="00630CD6">
        <w:rPr>
          <w:rFonts w:ascii="Times New Roman" w:eastAsia="Calibri" w:hAnsi="Times New Roman" w:cs="Times New Roman"/>
          <w:noProof/>
          <w:color w:val="0563C1"/>
          <w:kern w:val="0"/>
          <w:u w:val="single"/>
          <w:lang w:eastAsia="ro-RO"/>
          <w14:ligatures w14:val="none"/>
        </w:rPr>
        <w:t>office@contragarantare.ro</w:t>
      </w:r>
    </w:hyperlink>
    <w:r w:rsidRPr="00630CD6">
      <w:rPr>
        <w:rFonts w:ascii="Times New Roman" w:eastAsia="Calibri" w:hAnsi="Times New Roman" w:cs="Times New Roman"/>
        <w:noProof/>
        <w:kern w:val="0"/>
        <w:lang w:eastAsia="ro-RO"/>
        <w14:ligatures w14:val="none"/>
      </w:rPr>
      <w:t xml:space="preserve">; </w:t>
    </w:r>
    <w:hyperlink r:id="rId2" w:history="1">
      <w:r w:rsidRPr="00630CD6">
        <w:rPr>
          <w:rFonts w:ascii="Times New Roman" w:eastAsia="Calibri" w:hAnsi="Times New Roman" w:cs="Times New Roman"/>
          <w:noProof/>
          <w:color w:val="0563C1"/>
          <w:kern w:val="0"/>
          <w:u w:val="single"/>
          <w:lang w:eastAsia="ro-RO"/>
          <w14:ligatures w14:val="none"/>
        </w:rPr>
        <w:t>www.contragarantare.ro</w:t>
      </w:r>
    </w:hyperlink>
  </w:p>
  <w:p w14:paraId="363861A8" w14:textId="77777777" w:rsidR="00630CD6" w:rsidRPr="00630CD6" w:rsidRDefault="00630CD6" w:rsidP="00630CD6">
    <w:pPr>
      <w:tabs>
        <w:tab w:val="center" w:pos="4680"/>
        <w:tab w:val="right" w:pos="9360"/>
      </w:tabs>
      <w:spacing w:after="0" w:line="240" w:lineRule="auto"/>
      <w:rPr>
        <w:rFonts w:ascii="Times New Roman" w:eastAsia="Calibri" w:hAnsi="Times New Roman" w:cs="Times New Roman"/>
        <w:noProof/>
        <w:kern w:val="0"/>
        <w:sz w:val="24"/>
        <w:szCs w:val="24"/>
        <w:lang w:eastAsia="ro-RO"/>
        <w14:ligatures w14:val="none"/>
      </w:rPr>
    </w:pPr>
  </w:p>
  <w:p w14:paraId="61A59E96" w14:textId="77777777" w:rsidR="00630CD6" w:rsidRPr="00630CD6" w:rsidRDefault="00630CD6" w:rsidP="00630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0921A" w14:textId="77777777" w:rsidR="0071554C" w:rsidRDefault="0071554C" w:rsidP="00516AA2">
      <w:pPr>
        <w:spacing w:after="0" w:line="240" w:lineRule="auto"/>
      </w:pPr>
      <w:r>
        <w:separator/>
      </w:r>
    </w:p>
  </w:footnote>
  <w:footnote w:type="continuationSeparator" w:id="0">
    <w:p w14:paraId="15742A84" w14:textId="77777777" w:rsidR="0071554C" w:rsidRDefault="0071554C" w:rsidP="00516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BBA3E" w14:textId="09DE98E5" w:rsidR="00516AA2" w:rsidRDefault="00516AA2" w:rsidP="00516AA2">
    <w:pPr>
      <w:pStyle w:val="Header"/>
      <w:jc w:val="center"/>
    </w:pPr>
    <w:r>
      <w:rPr>
        <w:noProof/>
      </w:rPr>
      <w:drawing>
        <wp:inline distT="0" distB="0" distL="0" distR="0" wp14:anchorId="3B9C30E7" wp14:editId="31FFA0D9">
          <wp:extent cx="1666095" cy="1085044"/>
          <wp:effectExtent l="0" t="0" r="0" b="1270"/>
          <wp:docPr id="674380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28831" name="Picture 93828831"/>
                  <pic:cNvPicPr/>
                </pic:nvPicPr>
                <pic:blipFill>
                  <a:blip r:embed="rId1">
                    <a:extLst>
                      <a:ext uri="{28A0092B-C50C-407E-A947-70E740481C1C}">
                        <a14:useLocalDpi xmlns:a14="http://schemas.microsoft.com/office/drawing/2010/main" val="0"/>
                      </a:ext>
                    </a:extLst>
                  </a:blip>
                  <a:stretch>
                    <a:fillRect/>
                  </a:stretch>
                </pic:blipFill>
                <pic:spPr>
                  <a:xfrm>
                    <a:off x="0" y="0"/>
                    <a:ext cx="1669029" cy="1086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0C72"/>
    <w:multiLevelType w:val="hybridMultilevel"/>
    <w:tmpl w:val="6C44CB7C"/>
    <w:lvl w:ilvl="0" w:tplc="0409000D">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6E9A5284"/>
    <w:multiLevelType w:val="hybridMultilevel"/>
    <w:tmpl w:val="D4347576"/>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291596582">
    <w:abstractNumId w:val="0"/>
  </w:num>
  <w:num w:numId="2" w16cid:durableId="2111849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A2"/>
    <w:rsid w:val="00084B0F"/>
    <w:rsid w:val="00111D88"/>
    <w:rsid w:val="001955AE"/>
    <w:rsid w:val="0028541A"/>
    <w:rsid w:val="0038794B"/>
    <w:rsid w:val="004061DB"/>
    <w:rsid w:val="00433BDA"/>
    <w:rsid w:val="004B1ECF"/>
    <w:rsid w:val="00516AA2"/>
    <w:rsid w:val="00630CD6"/>
    <w:rsid w:val="006661B4"/>
    <w:rsid w:val="006830BC"/>
    <w:rsid w:val="00685911"/>
    <w:rsid w:val="006D7F10"/>
    <w:rsid w:val="0071554C"/>
    <w:rsid w:val="00815AA2"/>
    <w:rsid w:val="00820FD0"/>
    <w:rsid w:val="00834B97"/>
    <w:rsid w:val="00A10E1E"/>
    <w:rsid w:val="00AB67DF"/>
    <w:rsid w:val="00AD5139"/>
    <w:rsid w:val="00AD719A"/>
    <w:rsid w:val="00CB0BAD"/>
    <w:rsid w:val="00F6105C"/>
    <w:rsid w:val="00FA365F"/>
    <w:rsid w:val="00FE0844"/>
    <w:rsid w:val="00FE3AE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92001"/>
  <w15:chartTrackingRefBased/>
  <w15:docId w15:val="{C9D75D9A-CD32-4348-93F2-108DDCD6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5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AA2"/>
  </w:style>
  <w:style w:type="paragraph" w:styleId="Footer">
    <w:name w:val="footer"/>
    <w:basedOn w:val="Normal"/>
    <w:link w:val="FooterChar"/>
    <w:uiPriority w:val="99"/>
    <w:unhideWhenUsed/>
    <w:rsid w:val="00516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AA2"/>
  </w:style>
  <w:style w:type="paragraph" w:styleId="ListParagraph">
    <w:name w:val="List Paragraph"/>
    <w:basedOn w:val="Normal"/>
    <w:uiPriority w:val="34"/>
    <w:qFormat/>
    <w:rsid w:val="00CB0BAD"/>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ntragarantare.ro" TargetMode="External"/><Relationship Id="rId1" Type="http://schemas.openxmlformats.org/officeDocument/2006/relationships/hyperlink" Target="mailto:office@contragarantare.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Savoiu</dc:creator>
  <cp:keywords/>
  <dc:description/>
  <cp:lastModifiedBy>Alice Awad</cp:lastModifiedBy>
  <cp:revision>3</cp:revision>
  <cp:lastPrinted>2024-12-09T11:46:00Z</cp:lastPrinted>
  <dcterms:created xsi:type="dcterms:W3CDTF">2025-01-16T13:41:00Z</dcterms:created>
  <dcterms:modified xsi:type="dcterms:W3CDTF">2025-01-16T13:41:00Z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cf208dea-83a6-4b6c-980c-6c66345923a7</vt:lpwstr>
  </property>
</Properties>
</file>