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2"/>
        <w:gridCol w:w="3150"/>
      </w:tblGrid>
      <w:tr w:rsidR="00465CD5" w:rsidRPr="00825DF0">
        <w:trPr>
          <w:trHeight w:hRule="exact" w:val="907"/>
        </w:trPr>
        <w:tc>
          <w:tcPr>
            <w:tcW w:w="252" w:type="dxa"/>
            <w:tcBorders>
              <w:left w:val="single" w:sz="12" w:space="0" w:color="786E64" w:themeColor="accent2"/>
            </w:tcBorders>
          </w:tcPr>
          <w:p w:rsidR="00465CD5" w:rsidRPr="00825DF0" w:rsidRDefault="00465CD5" w:rsidP="009E4E88">
            <w:pPr>
              <w:framePr w:w="3402" w:h="907" w:wrap="notBeside" w:vAnchor="page" w:hAnchor="page" w:x="7349" w:y="732" w:anchorLock="1"/>
              <w:spacing w:line="276" w:lineRule="auto"/>
              <w:rPr>
                <w:rFonts w:ascii="Impact" w:hAnsi="Impact" w:cs="Arial"/>
                <w:lang w:val="en-GB"/>
              </w:rPr>
            </w:pPr>
          </w:p>
        </w:tc>
        <w:tc>
          <w:tcPr>
            <w:tcW w:w="3150" w:type="dxa"/>
            <w:vAlign w:val="center"/>
          </w:tcPr>
          <w:p w:rsidR="00465CD5" w:rsidRPr="00825DF0" w:rsidRDefault="0039535E" w:rsidP="009E4E88">
            <w:pPr>
              <w:pStyle w:val="Nomdudocument"/>
              <w:framePr w:wrap="notBeside" w:y="732"/>
              <w:spacing w:line="276" w:lineRule="auto"/>
              <w:rPr>
                <w:rFonts w:cs="Arial"/>
                <w:lang w:val="en-GB"/>
              </w:rPr>
            </w:pPr>
            <w:r w:rsidRPr="00825DF0">
              <w:rPr>
                <w:rFonts w:cs="Arial"/>
                <w:lang w:val="en-GB"/>
              </w:rPr>
              <w:t>NOTE</w:t>
            </w:r>
          </w:p>
        </w:tc>
      </w:tr>
    </w:tbl>
    <w:tbl>
      <w:tblPr>
        <w:tblStyle w:val="Grilledutableau"/>
        <w:tblW w:w="3686" w:type="dxa"/>
        <w:tblLayout w:type="fixed"/>
        <w:tblCellMar>
          <w:left w:w="0" w:type="dxa"/>
          <w:right w:w="0" w:type="dxa"/>
        </w:tblCellMar>
        <w:tblLook w:val="04A0" w:firstRow="1" w:lastRow="0" w:firstColumn="1" w:lastColumn="0" w:noHBand="0" w:noVBand="1"/>
      </w:tblPr>
      <w:tblGrid>
        <w:gridCol w:w="224"/>
        <w:gridCol w:w="3462"/>
      </w:tblGrid>
      <w:tr w:rsidR="00562662" w:rsidRPr="00825DF0">
        <w:trPr>
          <w:trHeight w:hRule="exact" w:val="340"/>
        </w:trPr>
        <w:tc>
          <w:tcPr>
            <w:tcW w:w="224" w:type="dxa"/>
            <w:tcBorders>
              <w:top w:val="nil"/>
              <w:left w:val="nil"/>
              <w:bottom w:val="nil"/>
              <w:right w:val="nil"/>
            </w:tcBorders>
          </w:tcPr>
          <w:p w:rsidR="00562662" w:rsidRPr="00825DF0" w:rsidRDefault="00562662" w:rsidP="009E4E88">
            <w:pPr>
              <w:pStyle w:val="Datedudocument"/>
              <w:framePr w:w="3686" w:wrap="around" w:x="7349" w:y="1986"/>
              <w:spacing w:line="276" w:lineRule="auto"/>
              <w:rPr>
                <w:rFonts w:cs="Arial"/>
                <w:lang w:val="en-GB"/>
              </w:rPr>
            </w:pPr>
          </w:p>
        </w:tc>
        <w:tc>
          <w:tcPr>
            <w:tcW w:w="3462" w:type="dxa"/>
            <w:tcBorders>
              <w:top w:val="nil"/>
              <w:left w:val="nil"/>
              <w:bottom w:val="nil"/>
              <w:right w:val="nil"/>
            </w:tcBorders>
          </w:tcPr>
          <w:p w:rsidR="00562662" w:rsidRPr="00825DF0" w:rsidRDefault="005837AE" w:rsidP="00C838FE">
            <w:pPr>
              <w:pStyle w:val="Datedudocument"/>
              <w:framePr w:w="3686" w:wrap="around" w:x="7349" w:y="1986"/>
              <w:spacing w:line="276" w:lineRule="auto"/>
              <w:rPr>
                <w:rFonts w:cs="Arial"/>
                <w:lang w:val="en-GB"/>
              </w:rPr>
            </w:pPr>
            <w:r w:rsidRPr="00825DF0">
              <w:rPr>
                <w:rFonts w:cs="Arial"/>
                <w:lang w:val="en-GB"/>
              </w:rPr>
              <w:t>January 2017</w:t>
            </w:r>
          </w:p>
        </w:tc>
      </w:tr>
    </w:tbl>
    <w:p w:rsidR="0039535E" w:rsidRPr="00825DF0" w:rsidRDefault="0039535E" w:rsidP="00EA60D7">
      <w:pPr>
        <w:spacing w:line="276" w:lineRule="auto"/>
        <w:jc w:val="center"/>
        <w:rPr>
          <w:rFonts w:asciiTheme="majorHAnsi" w:hAnsiTheme="majorHAnsi" w:cstheme="majorHAnsi"/>
          <w:b/>
          <w:sz w:val="24"/>
          <w:szCs w:val="24"/>
          <w:lang w:val="en-GB"/>
        </w:rPr>
      </w:pPr>
      <w:r w:rsidRPr="00825DF0">
        <w:rPr>
          <w:rFonts w:ascii="Arial" w:hAnsi="Arial" w:cs="Arial"/>
          <w:noProof/>
          <w:lang w:eastAsia="fr-FR"/>
        </w:rPr>
        <w:drawing>
          <wp:anchor distT="0" distB="0" distL="114300" distR="114300" simplePos="0" relativeHeight="251659264" behindDoc="1" locked="0" layoutInCell="1" allowOverlap="1">
            <wp:simplePos x="0" y="0"/>
            <wp:positionH relativeFrom="column">
              <wp:posOffset>-422646</wp:posOffset>
            </wp:positionH>
            <wp:positionV relativeFrom="paragraph">
              <wp:posOffset>-512445</wp:posOffset>
            </wp:positionV>
            <wp:extent cx="2108579" cy="570671"/>
            <wp:effectExtent l="0" t="0" r="6350" b="1270"/>
            <wp:wrapNone/>
            <wp:docPr id="7" name="Picture 2" descr="http://upload.wikimedia.org/wikipedia/fr/e/ec/BPI_France_RVB_fd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http://upload.wikimedia.org/wikipedia/fr/e/ec/BPI_France_RVB_fd_blan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579" cy="570671"/>
                    </a:xfrm>
                    <a:prstGeom prst="rect">
                      <a:avLst/>
                    </a:prstGeom>
                    <a:noFill/>
                    <a:extLst/>
                  </pic:spPr>
                </pic:pic>
              </a:graphicData>
            </a:graphic>
          </wp:anchor>
        </w:drawing>
      </w:r>
    </w:p>
    <w:p w:rsidR="0039535E" w:rsidRPr="00825DF0" w:rsidRDefault="0039535E" w:rsidP="00EA60D7">
      <w:pPr>
        <w:spacing w:line="276" w:lineRule="auto"/>
        <w:jc w:val="center"/>
        <w:rPr>
          <w:rFonts w:asciiTheme="majorHAnsi" w:hAnsiTheme="majorHAnsi" w:cstheme="majorHAnsi"/>
          <w:b/>
          <w:sz w:val="24"/>
          <w:szCs w:val="24"/>
          <w:lang w:val="en-GB"/>
        </w:rPr>
      </w:pPr>
    </w:p>
    <w:p w:rsidR="0039535E" w:rsidRPr="00825DF0" w:rsidRDefault="0039535E" w:rsidP="00EA60D7">
      <w:pPr>
        <w:spacing w:line="276" w:lineRule="auto"/>
        <w:jc w:val="center"/>
        <w:rPr>
          <w:rFonts w:asciiTheme="majorHAnsi" w:hAnsiTheme="majorHAnsi" w:cstheme="majorHAnsi"/>
          <w:b/>
          <w:sz w:val="24"/>
          <w:szCs w:val="24"/>
          <w:lang w:val="en-GB"/>
        </w:rPr>
      </w:pPr>
    </w:p>
    <w:tbl>
      <w:tblPr>
        <w:tblStyle w:val="Grilledutableau"/>
        <w:tblW w:w="0" w:type="auto"/>
        <w:tblLook w:val="04A0" w:firstRow="1" w:lastRow="0" w:firstColumn="1" w:lastColumn="0" w:noHBand="0" w:noVBand="1"/>
      </w:tblPr>
      <w:tblGrid>
        <w:gridCol w:w="9174"/>
      </w:tblGrid>
      <w:tr w:rsidR="0039535E" w:rsidRPr="00825DF0" w:rsidTr="0039535E">
        <w:tc>
          <w:tcPr>
            <w:tcW w:w="10572" w:type="dxa"/>
          </w:tcPr>
          <w:p w:rsidR="0039535E" w:rsidRPr="00825DF0" w:rsidRDefault="0039535E" w:rsidP="0039535E">
            <w:pPr>
              <w:spacing w:line="276" w:lineRule="auto"/>
              <w:jc w:val="center"/>
              <w:rPr>
                <w:rFonts w:asciiTheme="majorHAnsi" w:hAnsiTheme="majorHAnsi" w:cstheme="majorHAnsi"/>
                <w:b/>
                <w:sz w:val="12"/>
                <w:szCs w:val="12"/>
                <w:lang w:val="en-GB"/>
              </w:rPr>
            </w:pPr>
          </w:p>
          <w:p w:rsidR="0039535E" w:rsidRPr="00825DF0" w:rsidRDefault="00365B13" w:rsidP="00D0365A">
            <w:pPr>
              <w:spacing w:line="360" w:lineRule="auto"/>
              <w:jc w:val="center"/>
              <w:rPr>
                <w:rFonts w:asciiTheme="majorHAnsi" w:hAnsiTheme="majorHAnsi" w:cstheme="majorHAnsi"/>
                <w:b/>
                <w:sz w:val="24"/>
                <w:szCs w:val="24"/>
                <w:lang w:val="en-GB"/>
              </w:rPr>
            </w:pPr>
            <w:r w:rsidRPr="00825DF0">
              <w:rPr>
                <w:rFonts w:asciiTheme="majorHAnsi" w:hAnsiTheme="majorHAnsi" w:cstheme="majorHAnsi"/>
                <w:b/>
                <w:bCs/>
                <w:sz w:val="24"/>
                <w:szCs w:val="24"/>
                <w:lang w:val="en-GB"/>
              </w:rPr>
              <w:t>Extension of the Investment Plan for Europe</w:t>
            </w:r>
          </w:p>
          <w:p w:rsidR="00365B13" w:rsidRPr="00825DF0" w:rsidRDefault="00365B13" w:rsidP="00487F13">
            <w:pPr>
              <w:spacing w:line="360" w:lineRule="auto"/>
              <w:jc w:val="center"/>
              <w:rPr>
                <w:rFonts w:asciiTheme="majorHAnsi" w:hAnsiTheme="majorHAnsi" w:cstheme="majorHAnsi"/>
                <w:b/>
                <w:sz w:val="12"/>
                <w:szCs w:val="12"/>
                <w:lang w:val="en-GB"/>
              </w:rPr>
            </w:pPr>
            <w:r w:rsidRPr="00825DF0">
              <w:rPr>
                <w:rFonts w:asciiTheme="majorHAnsi" w:hAnsiTheme="majorHAnsi" w:cstheme="majorHAnsi"/>
                <w:b/>
                <w:bCs/>
                <w:sz w:val="24"/>
                <w:szCs w:val="24"/>
                <w:lang w:val="en-GB"/>
              </w:rPr>
              <w:t>Bpifrance Projects and Proposals</w:t>
            </w:r>
          </w:p>
        </w:tc>
      </w:tr>
    </w:tbl>
    <w:p w:rsidR="001178E8" w:rsidRPr="00825DF0" w:rsidRDefault="001178E8" w:rsidP="00901640">
      <w:pPr>
        <w:jc w:val="both"/>
        <w:rPr>
          <w:rFonts w:asciiTheme="majorHAnsi" w:hAnsiTheme="majorHAnsi" w:cstheme="majorHAnsi"/>
          <w:b/>
          <w:sz w:val="24"/>
          <w:szCs w:val="24"/>
          <w:lang w:val="en-GB"/>
        </w:rPr>
      </w:pPr>
    </w:p>
    <w:p w:rsidR="00487F13" w:rsidRPr="00825DF0" w:rsidRDefault="00487F13" w:rsidP="00901640">
      <w:pPr>
        <w:jc w:val="both"/>
        <w:rPr>
          <w:sz w:val="12"/>
          <w:szCs w:val="12"/>
          <w:lang w:val="en-GB"/>
        </w:rPr>
      </w:pPr>
    </w:p>
    <w:p w:rsidR="001178E8" w:rsidRPr="00825DF0" w:rsidRDefault="001178E8" w:rsidP="00901640">
      <w:pPr>
        <w:jc w:val="both"/>
        <w:rPr>
          <w:szCs w:val="20"/>
          <w:lang w:val="en-GB"/>
        </w:rPr>
      </w:pPr>
      <w:r w:rsidRPr="00825DF0">
        <w:rPr>
          <w:szCs w:val="20"/>
          <w:lang w:val="en-GB"/>
        </w:rPr>
        <w:t xml:space="preserve">More than a year after the European Fund for Strategic Investments (EFSI) was set up, Bpifrance applauds the initial results of the Investment Plan for Europe (IPE), as regards the SME window in particular. </w:t>
      </w:r>
    </w:p>
    <w:p w:rsidR="00DB0B69" w:rsidRPr="00825DF0" w:rsidRDefault="001178E8" w:rsidP="00901640">
      <w:pPr>
        <w:jc w:val="both"/>
        <w:rPr>
          <w:szCs w:val="20"/>
          <w:lang w:val="en-GB"/>
        </w:rPr>
      </w:pPr>
      <w:r w:rsidRPr="00825DF0">
        <w:rPr>
          <w:szCs w:val="20"/>
          <w:lang w:val="en-GB"/>
        </w:rPr>
        <w:t>In June 2016, 185 contracts were signed in 26 European countries for a total of €2 billion committed (60% of the Plan’s SME budget); €50 billion of private investment was raised (2/3 of the target of €75 billion) and 141,000 businesses received support</w:t>
      </w:r>
      <w:r w:rsidRPr="00825DF0">
        <w:rPr>
          <w:szCs w:val="20"/>
          <w:vertAlign w:val="superscript"/>
          <w:lang w:val="en-GB"/>
        </w:rPr>
        <w:footnoteReference w:id="1"/>
      </w:r>
      <w:r w:rsidRPr="00825DF0">
        <w:rPr>
          <w:szCs w:val="20"/>
          <w:lang w:val="en-GB"/>
        </w:rPr>
        <w:t>.</w:t>
      </w:r>
    </w:p>
    <w:p w:rsidR="00F1220C" w:rsidRPr="00825DF0" w:rsidRDefault="00F1220C" w:rsidP="00901640">
      <w:pPr>
        <w:jc w:val="both"/>
        <w:rPr>
          <w:szCs w:val="20"/>
          <w:lang w:val="en-GB"/>
        </w:rPr>
      </w:pPr>
    </w:p>
    <w:p w:rsidR="00C46D8A" w:rsidRPr="00825DF0" w:rsidRDefault="00C46D8A" w:rsidP="00C46D8A">
      <w:pPr>
        <w:jc w:val="both"/>
        <w:rPr>
          <w:rFonts w:ascii="Arial" w:hAnsi="Arial" w:cs="Arial"/>
          <w:szCs w:val="20"/>
          <w:lang w:val="en-GB"/>
        </w:rPr>
      </w:pPr>
      <w:r w:rsidRPr="00825DF0">
        <w:rPr>
          <w:rFonts w:ascii="Arial" w:hAnsi="Arial" w:cs="Arial"/>
          <w:szCs w:val="20"/>
          <w:lang w:val="en-GB"/>
        </w:rPr>
        <w:t xml:space="preserve">Faced with substantial market demand, in June 2016 the European Commission announced its intention of transferring up to €500 million from the infrastructure window to SME window instruments. Bpifrance warmly welcomes this decision. </w:t>
      </w:r>
    </w:p>
    <w:p w:rsidR="001178E8" w:rsidRPr="00825DF0" w:rsidRDefault="001178E8" w:rsidP="00901640">
      <w:pPr>
        <w:jc w:val="both"/>
        <w:rPr>
          <w:szCs w:val="20"/>
          <w:lang w:val="en-GB"/>
        </w:rPr>
      </w:pPr>
    </w:p>
    <w:p w:rsidR="00ED1A49" w:rsidRPr="00825DF0" w:rsidRDefault="00DB0B69" w:rsidP="00901640">
      <w:pPr>
        <w:jc w:val="both"/>
        <w:rPr>
          <w:szCs w:val="20"/>
          <w:lang w:val="en-GB"/>
        </w:rPr>
      </w:pPr>
      <w:r w:rsidRPr="00825DF0">
        <w:rPr>
          <w:szCs w:val="20"/>
          <w:lang w:val="en-GB"/>
        </w:rPr>
        <w:t xml:space="preserve">The investment plan has produced three main favourable effects in the SME window: </w:t>
      </w:r>
    </w:p>
    <w:p w:rsidR="00ED1A49" w:rsidRPr="00825DF0" w:rsidRDefault="00ED1A49" w:rsidP="007F2EAB">
      <w:pPr>
        <w:pStyle w:val="Paragraphedeliste"/>
        <w:numPr>
          <w:ilvl w:val="0"/>
          <w:numId w:val="7"/>
        </w:numPr>
        <w:jc w:val="both"/>
        <w:rPr>
          <w:rFonts w:ascii="Arial" w:hAnsi="Arial" w:cs="Arial"/>
          <w:szCs w:val="20"/>
          <w:lang w:val="en-GB"/>
        </w:rPr>
      </w:pPr>
      <w:r w:rsidRPr="00825DF0">
        <w:rPr>
          <w:rFonts w:ascii="Arial" w:hAnsi="Arial" w:cs="Arial"/>
          <w:szCs w:val="20"/>
          <w:lang w:val="en-GB"/>
        </w:rPr>
        <w:t>Faster deployment of existing European guarantee and equity financial instruments, such as InnovFin and COSME – a procedure called “frontloading”;</w:t>
      </w:r>
    </w:p>
    <w:p w:rsidR="00ED1A49" w:rsidRPr="00825DF0" w:rsidRDefault="00ED1A49" w:rsidP="007F2EAB">
      <w:pPr>
        <w:pStyle w:val="Paragraphedeliste"/>
        <w:numPr>
          <w:ilvl w:val="0"/>
          <w:numId w:val="7"/>
        </w:numPr>
        <w:jc w:val="both"/>
        <w:rPr>
          <w:rFonts w:ascii="Arial" w:hAnsi="Arial" w:cs="Arial"/>
          <w:szCs w:val="20"/>
          <w:lang w:val="en-GB"/>
        </w:rPr>
      </w:pPr>
      <w:r w:rsidRPr="00825DF0">
        <w:rPr>
          <w:rFonts w:ascii="Arial" w:hAnsi="Arial" w:cs="Arial"/>
          <w:szCs w:val="20"/>
          <w:lang w:val="en-GB"/>
        </w:rPr>
        <w:t>Development within the EIB of an attitude of greater readiness to take risks (particularly the introduction of asymmetrical financing plans);</w:t>
      </w:r>
    </w:p>
    <w:p w:rsidR="00B857B2" w:rsidRPr="00825DF0" w:rsidRDefault="00ED1A49" w:rsidP="007F2EAB">
      <w:pPr>
        <w:pStyle w:val="Paragraphedeliste"/>
        <w:numPr>
          <w:ilvl w:val="0"/>
          <w:numId w:val="7"/>
        </w:numPr>
        <w:jc w:val="both"/>
        <w:rPr>
          <w:rFonts w:ascii="Arial" w:hAnsi="Arial" w:cs="Arial"/>
          <w:szCs w:val="20"/>
          <w:lang w:val="en-GB"/>
        </w:rPr>
      </w:pPr>
      <w:r w:rsidRPr="00825DF0">
        <w:rPr>
          <w:rFonts w:ascii="Arial" w:hAnsi="Arial" w:cs="Arial"/>
          <w:szCs w:val="20"/>
          <w:lang w:val="en-GB"/>
        </w:rPr>
        <w:t>The preparation of new European risk funding programmes (guarantees for unsecured loans, the equity platform, etc.).</w:t>
      </w:r>
    </w:p>
    <w:p w:rsidR="00C46D8A" w:rsidRPr="00825DF0" w:rsidRDefault="00C46D8A" w:rsidP="00901640">
      <w:pPr>
        <w:jc w:val="both"/>
        <w:rPr>
          <w:rFonts w:ascii="Arial" w:hAnsi="Arial" w:cs="Arial"/>
          <w:szCs w:val="20"/>
          <w:lang w:val="en-GB"/>
        </w:rPr>
      </w:pPr>
    </w:p>
    <w:p w:rsidR="00C46D8A" w:rsidRPr="00825DF0" w:rsidRDefault="00C46D8A" w:rsidP="00C46D8A">
      <w:pPr>
        <w:spacing w:line="276" w:lineRule="auto"/>
        <w:jc w:val="both"/>
        <w:rPr>
          <w:szCs w:val="20"/>
          <w:lang w:val="en-GB"/>
        </w:rPr>
      </w:pPr>
      <w:r w:rsidRPr="00825DF0">
        <w:rPr>
          <w:szCs w:val="20"/>
          <w:lang w:val="en-GB"/>
        </w:rPr>
        <w:t xml:space="preserve">The background situation remains unchanged: the EU is confronted with a cumulative productive investment deficit built up since 2008. So it is essential to face up to the challenges of productivity and quality of investment. </w:t>
      </w:r>
    </w:p>
    <w:p w:rsidR="00C46D8A" w:rsidRPr="00825DF0" w:rsidRDefault="00C46D8A" w:rsidP="00C46D8A">
      <w:pPr>
        <w:spacing w:line="276" w:lineRule="auto"/>
        <w:jc w:val="both"/>
        <w:rPr>
          <w:szCs w:val="20"/>
          <w:lang w:val="en-GB"/>
        </w:rPr>
      </w:pPr>
      <w:r w:rsidRPr="00825DF0">
        <w:rPr>
          <w:szCs w:val="20"/>
          <w:lang w:val="en-GB"/>
        </w:rPr>
        <w:t xml:space="preserve">In this respect, Bpifrance is happy about the role given to National Promotional Institutions (NPIs) in implementing the IPE. It is crucial to find ways of making European financing programmes dovetail better with those of national operators. </w:t>
      </w:r>
    </w:p>
    <w:p w:rsidR="00C46D8A" w:rsidRPr="00825DF0" w:rsidRDefault="00C46D8A" w:rsidP="00C46D8A">
      <w:pPr>
        <w:spacing w:line="276" w:lineRule="auto"/>
        <w:jc w:val="both"/>
        <w:rPr>
          <w:rFonts w:asciiTheme="majorHAnsi" w:hAnsiTheme="majorHAnsi" w:cstheme="majorHAnsi"/>
          <w:szCs w:val="20"/>
          <w:lang w:val="en-GB"/>
        </w:rPr>
      </w:pPr>
    </w:p>
    <w:p w:rsidR="00C46D8A" w:rsidRPr="00825DF0" w:rsidRDefault="00C46D8A" w:rsidP="00C46D8A">
      <w:pPr>
        <w:spacing w:line="276" w:lineRule="auto"/>
        <w:jc w:val="both"/>
        <w:rPr>
          <w:rFonts w:asciiTheme="majorHAnsi" w:hAnsiTheme="majorHAnsi" w:cstheme="majorHAnsi"/>
          <w:szCs w:val="20"/>
          <w:lang w:val="en-GB"/>
        </w:rPr>
      </w:pPr>
      <w:r w:rsidRPr="00825DF0">
        <w:rPr>
          <w:rFonts w:asciiTheme="majorHAnsi" w:hAnsiTheme="majorHAnsi" w:cstheme="majorHAnsi"/>
          <w:szCs w:val="20"/>
          <w:lang w:val="en-GB"/>
        </w:rPr>
        <w:t>Of the announced €8 billion of the French contribution to the Juncker Plan (€2.1 billion of it for businesses), Bpifrance has already contributed €1.8 billion in financing and investment</w:t>
      </w:r>
      <w:r w:rsidRPr="00825DF0">
        <w:rPr>
          <w:rFonts w:asciiTheme="majorHAnsi" w:hAnsiTheme="majorHAnsi" w:cstheme="majorHAnsi"/>
          <w:szCs w:val="20"/>
          <w:vertAlign w:val="superscript"/>
          <w:lang w:val="en-GB"/>
        </w:rPr>
        <w:footnoteReference w:id="2"/>
      </w:r>
      <w:r w:rsidR="00D16A42">
        <w:rPr>
          <w:rFonts w:asciiTheme="majorHAnsi" w:hAnsiTheme="majorHAnsi" w:cstheme="majorHAnsi"/>
          <w:szCs w:val="20"/>
          <w:lang w:val="en-GB"/>
        </w:rPr>
        <w:t xml:space="preserve">. </w:t>
      </w:r>
    </w:p>
    <w:p w:rsidR="00C46D8A" w:rsidRPr="00825DF0" w:rsidRDefault="00C46D8A" w:rsidP="00901640">
      <w:pPr>
        <w:jc w:val="both"/>
        <w:rPr>
          <w:rFonts w:ascii="Arial" w:hAnsi="Arial" w:cs="Arial"/>
          <w:szCs w:val="20"/>
          <w:lang w:val="en-GB"/>
        </w:rPr>
      </w:pPr>
    </w:p>
    <w:p w:rsidR="00901640" w:rsidRPr="00825DF0" w:rsidRDefault="00ED1A49" w:rsidP="00901640">
      <w:pPr>
        <w:jc w:val="both"/>
        <w:rPr>
          <w:rFonts w:ascii="Arial" w:hAnsi="Arial" w:cs="Arial"/>
          <w:szCs w:val="20"/>
          <w:lang w:val="en-GB"/>
        </w:rPr>
      </w:pPr>
      <w:r w:rsidRPr="00825DF0">
        <w:rPr>
          <w:rFonts w:ascii="Arial" w:hAnsi="Arial" w:cs="Arial"/>
          <w:szCs w:val="20"/>
          <w:lang w:val="en-GB"/>
        </w:rPr>
        <w:t xml:space="preserve">At a time of official discussions on a possible extension of the investment plan beyond 2018, in this note Bpifrance sets out (1) the EFSI projects it has undertaken and (2) some proposals on the future of the IPE. </w:t>
      </w:r>
      <w:bookmarkStart w:id="0" w:name="_GoBack"/>
      <w:bookmarkEnd w:id="0"/>
    </w:p>
    <w:p w:rsidR="00901640" w:rsidRPr="00825DF0" w:rsidRDefault="00901640" w:rsidP="00901640">
      <w:pPr>
        <w:jc w:val="both"/>
        <w:rPr>
          <w:rFonts w:ascii="Arial" w:hAnsi="Arial" w:cs="Arial"/>
          <w:szCs w:val="20"/>
          <w:lang w:val="en-GB"/>
        </w:rPr>
      </w:pPr>
    </w:p>
    <w:p w:rsidR="005837AE" w:rsidRPr="00825DF0" w:rsidRDefault="005837AE" w:rsidP="00901640">
      <w:pPr>
        <w:jc w:val="both"/>
        <w:rPr>
          <w:rFonts w:ascii="Arial" w:hAnsi="Arial" w:cs="Arial"/>
          <w:szCs w:val="20"/>
          <w:lang w:val="en-GB"/>
        </w:rPr>
      </w:pPr>
    </w:p>
    <w:p w:rsidR="005837AE" w:rsidRPr="00825DF0" w:rsidRDefault="005837AE" w:rsidP="00901640">
      <w:pPr>
        <w:jc w:val="both"/>
        <w:rPr>
          <w:rFonts w:ascii="Arial" w:hAnsi="Arial" w:cs="Arial"/>
          <w:szCs w:val="20"/>
          <w:lang w:val="en-GB"/>
        </w:rPr>
      </w:pPr>
    </w:p>
    <w:p w:rsidR="005837AE" w:rsidRPr="00825DF0" w:rsidRDefault="005837AE" w:rsidP="00901640">
      <w:pPr>
        <w:jc w:val="both"/>
        <w:rPr>
          <w:rFonts w:ascii="Arial" w:hAnsi="Arial" w:cs="Arial"/>
          <w:szCs w:val="20"/>
          <w:lang w:val="en-GB"/>
        </w:rPr>
      </w:pPr>
    </w:p>
    <w:p w:rsidR="005837AE" w:rsidRPr="00825DF0" w:rsidRDefault="005837AE" w:rsidP="00901640">
      <w:pPr>
        <w:jc w:val="both"/>
        <w:rPr>
          <w:rFonts w:ascii="Arial" w:hAnsi="Arial" w:cs="Arial"/>
          <w:szCs w:val="20"/>
          <w:lang w:val="en-GB"/>
        </w:rPr>
      </w:pPr>
    </w:p>
    <w:p w:rsidR="005837AE" w:rsidRPr="00825DF0" w:rsidRDefault="005837AE" w:rsidP="00901640">
      <w:pPr>
        <w:jc w:val="both"/>
        <w:rPr>
          <w:rFonts w:ascii="Arial" w:hAnsi="Arial" w:cs="Arial"/>
          <w:szCs w:val="20"/>
          <w:lang w:val="en-GB"/>
        </w:rPr>
      </w:pPr>
    </w:p>
    <w:p w:rsidR="005837AE" w:rsidRPr="00825DF0" w:rsidRDefault="005837AE" w:rsidP="005837AE">
      <w:pPr>
        <w:jc w:val="both"/>
        <w:rPr>
          <w:rFonts w:ascii="Arial" w:hAnsi="Arial" w:cs="Arial"/>
          <w:szCs w:val="20"/>
          <w:lang w:val="en-GB"/>
        </w:rPr>
      </w:pPr>
    </w:p>
    <w:p w:rsidR="005837AE" w:rsidRPr="00825DF0" w:rsidRDefault="005837AE" w:rsidP="005837AE">
      <w:pPr>
        <w:pStyle w:val="Titre1"/>
        <w:spacing w:before="0" w:after="0" w:line="276" w:lineRule="auto"/>
        <w:jc w:val="both"/>
        <w:rPr>
          <w:rFonts w:ascii="Arial" w:hAnsi="Arial" w:cs="Arial"/>
          <w:sz w:val="28"/>
          <w:lang w:val="en-GB"/>
        </w:rPr>
      </w:pPr>
      <w:r w:rsidRPr="00825DF0">
        <w:rPr>
          <w:rFonts w:ascii="Arial" w:hAnsi="Arial" w:cs="Arial"/>
          <w:sz w:val="28"/>
          <w:lang w:val="en-GB"/>
        </w:rPr>
        <w:lastRenderedPageBreak/>
        <w:t>projects undertaken</w:t>
      </w:r>
    </w:p>
    <w:p w:rsidR="005837AE" w:rsidRPr="00825DF0" w:rsidRDefault="005837AE" w:rsidP="005837AE">
      <w:pPr>
        <w:jc w:val="both"/>
        <w:rPr>
          <w:rFonts w:ascii="Arial" w:hAnsi="Arial" w:cs="Arial"/>
          <w:szCs w:val="20"/>
          <w:lang w:val="en-GB"/>
        </w:rPr>
      </w:pPr>
    </w:p>
    <w:p w:rsidR="005837AE" w:rsidRPr="00825DF0" w:rsidRDefault="005837AE" w:rsidP="005837AE">
      <w:pPr>
        <w:jc w:val="both"/>
        <w:rPr>
          <w:rFonts w:ascii="Arial" w:hAnsi="Arial" w:cs="Arial"/>
          <w:szCs w:val="20"/>
          <w:lang w:val="en-GB"/>
        </w:rPr>
      </w:pPr>
      <w:r w:rsidRPr="00825DF0">
        <w:rPr>
          <w:rFonts w:ascii="Arial" w:hAnsi="Arial" w:cs="Arial"/>
          <w:szCs w:val="20"/>
          <w:lang w:val="en-GB"/>
        </w:rPr>
        <w:t>Bpifrance’s delivery process takes three main forms: financing, equity and securitisation.</w:t>
      </w:r>
    </w:p>
    <w:p w:rsidR="005837AE" w:rsidRPr="00825DF0" w:rsidRDefault="005837AE" w:rsidP="005837AE">
      <w:pPr>
        <w:jc w:val="both"/>
        <w:rPr>
          <w:rFonts w:ascii="Arial" w:hAnsi="Arial" w:cs="Arial"/>
          <w:szCs w:val="20"/>
          <w:lang w:val="en-GB"/>
        </w:rPr>
      </w:pPr>
    </w:p>
    <w:p w:rsidR="005837AE" w:rsidRPr="00825DF0" w:rsidRDefault="005837AE" w:rsidP="007F2EAB">
      <w:pPr>
        <w:numPr>
          <w:ilvl w:val="0"/>
          <w:numId w:val="4"/>
        </w:numPr>
        <w:jc w:val="both"/>
        <w:rPr>
          <w:rFonts w:ascii="Arial" w:hAnsi="Arial" w:cs="Arial"/>
          <w:b/>
          <w:bCs/>
          <w:color w:val="FFCD00" w:themeColor="accent1"/>
          <w:sz w:val="24"/>
          <w:szCs w:val="24"/>
          <w:u w:val="single"/>
          <w:lang w:val="en-GB"/>
        </w:rPr>
      </w:pPr>
      <w:r w:rsidRPr="00825DF0">
        <w:rPr>
          <w:rFonts w:ascii="Arial" w:hAnsi="Arial" w:cs="Arial"/>
          <w:b/>
          <w:bCs/>
          <w:color w:val="FFCD00" w:themeColor="accent1"/>
          <w:sz w:val="24"/>
          <w:szCs w:val="24"/>
          <w:u w:val="single"/>
          <w:lang w:val="en-GB"/>
        </w:rPr>
        <w:t>Financing </w:t>
      </w:r>
    </w:p>
    <w:p w:rsidR="005837AE" w:rsidRPr="00825DF0" w:rsidRDefault="005837AE" w:rsidP="005837AE">
      <w:pPr>
        <w:jc w:val="both"/>
        <w:rPr>
          <w:rFonts w:ascii="Arial" w:hAnsi="Arial" w:cs="Arial"/>
          <w:szCs w:val="20"/>
          <w:lang w:val="en-GB"/>
        </w:rPr>
      </w:pPr>
    </w:p>
    <w:p w:rsidR="005837AE" w:rsidRPr="00825DF0" w:rsidRDefault="005837AE" w:rsidP="005837AE">
      <w:pPr>
        <w:numPr>
          <w:ilvl w:val="1"/>
          <w:numId w:val="1"/>
        </w:numPr>
        <w:jc w:val="both"/>
        <w:rPr>
          <w:rFonts w:ascii="Arial" w:hAnsi="Arial" w:cs="Arial"/>
          <w:b/>
          <w:bCs/>
          <w:szCs w:val="20"/>
          <w:u w:val="single"/>
          <w:lang w:val="en-GB"/>
        </w:rPr>
      </w:pPr>
      <w:r w:rsidRPr="00825DF0">
        <w:rPr>
          <w:rFonts w:ascii="Arial" w:hAnsi="Arial" w:cs="Arial"/>
          <w:b/>
          <w:bCs/>
          <w:szCs w:val="20"/>
          <w:u w:val="single"/>
          <w:lang w:val="en-GB"/>
        </w:rPr>
        <w:t>InnovFin SMEG 1 agreement: loans for innovative SMEs and small mid-caps guaranteed by the EIF</w:t>
      </w:r>
    </w:p>
    <w:p w:rsidR="005837AE" w:rsidRPr="00825DF0" w:rsidRDefault="005837AE" w:rsidP="005837AE">
      <w:pPr>
        <w:jc w:val="both"/>
        <w:rPr>
          <w:rFonts w:ascii="Arial" w:hAnsi="Arial" w:cs="Arial"/>
          <w:szCs w:val="20"/>
          <w:lang w:val="en-GB"/>
        </w:rPr>
      </w:pPr>
    </w:p>
    <w:p w:rsidR="005837AE" w:rsidRPr="00825DF0" w:rsidRDefault="005837AE" w:rsidP="005837AE">
      <w:pPr>
        <w:jc w:val="both"/>
        <w:rPr>
          <w:rFonts w:ascii="Arial" w:hAnsi="Arial" w:cs="Arial"/>
          <w:szCs w:val="20"/>
          <w:lang w:val="en-GB"/>
        </w:rPr>
      </w:pPr>
      <w:r w:rsidRPr="00825DF0">
        <w:rPr>
          <w:rFonts w:ascii="Arial" w:hAnsi="Arial" w:cs="Arial"/>
          <w:szCs w:val="20"/>
          <w:lang w:val="en-GB"/>
        </w:rPr>
        <w:t xml:space="preserve">InnovFin agreement: under the agreement signed with the EIF on </w:t>
      </w:r>
      <w:r w:rsidRPr="00825DF0">
        <w:rPr>
          <w:rFonts w:ascii="Arial" w:hAnsi="Arial" w:cs="Arial"/>
          <w:b/>
          <w:bCs/>
          <w:szCs w:val="20"/>
          <w:lang w:val="en-GB"/>
        </w:rPr>
        <w:t>12 May 2015</w:t>
      </w:r>
      <w:r w:rsidRPr="00825DF0">
        <w:rPr>
          <w:rFonts w:ascii="Arial" w:hAnsi="Arial" w:cs="Arial"/>
          <w:szCs w:val="20"/>
          <w:lang w:val="en-GB"/>
        </w:rPr>
        <w:t xml:space="preserve">, Bpifrance received a guarantee from the EIF covering a portfolio of </w:t>
      </w:r>
      <w:r w:rsidRPr="00825DF0">
        <w:rPr>
          <w:rFonts w:ascii="Arial" w:hAnsi="Arial" w:cs="Arial"/>
          <w:b/>
          <w:bCs/>
          <w:szCs w:val="20"/>
          <w:lang w:val="en-GB"/>
        </w:rPr>
        <w:t xml:space="preserve">€420 million </w:t>
      </w:r>
      <w:r w:rsidRPr="00825DF0">
        <w:rPr>
          <w:rFonts w:ascii="Arial" w:hAnsi="Arial" w:cs="Arial"/>
          <w:szCs w:val="20"/>
          <w:lang w:val="en-GB"/>
        </w:rPr>
        <w:t>in loans to be distributed over two years via two products:</w:t>
      </w:r>
    </w:p>
    <w:p w:rsidR="005837AE" w:rsidRPr="00825DF0" w:rsidRDefault="005837AE" w:rsidP="007F2EAB">
      <w:pPr>
        <w:pStyle w:val="Paragraphedeliste"/>
        <w:numPr>
          <w:ilvl w:val="0"/>
          <w:numId w:val="8"/>
        </w:numPr>
        <w:jc w:val="both"/>
        <w:rPr>
          <w:rFonts w:ascii="Arial" w:hAnsi="Arial" w:cs="Arial"/>
          <w:szCs w:val="20"/>
          <w:lang w:val="en-GB"/>
        </w:rPr>
      </w:pPr>
      <w:r w:rsidRPr="00825DF0">
        <w:rPr>
          <w:rFonts w:ascii="Arial" w:hAnsi="Arial" w:cs="Arial"/>
          <w:szCs w:val="20"/>
          <w:u w:val="single"/>
          <w:lang w:val="en-GB"/>
        </w:rPr>
        <w:t>The Innovation Loan</w:t>
      </w:r>
      <w:r w:rsidRPr="00825DF0">
        <w:rPr>
          <w:rFonts w:ascii="Arial" w:hAnsi="Arial" w:cs="Arial"/>
          <w:szCs w:val="20"/>
          <w:lang w:val="en-GB"/>
        </w:rPr>
        <w:t xml:space="preserve"> (PI EIF): €320 million 50% guaranteed by the EIF; unsecured loans financing expenditure on intangibles by innovative SMEs and small mid-caps (&lt;500 employees). Financing tickets up to €5 million.</w:t>
      </w:r>
    </w:p>
    <w:p w:rsidR="005837AE" w:rsidRPr="00825DF0" w:rsidRDefault="005837AE" w:rsidP="007F2EAB">
      <w:pPr>
        <w:pStyle w:val="Paragraphedeliste"/>
        <w:numPr>
          <w:ilvl w:val="0"/>
          <w:numId w:val="8"/>
        </w:numPr>
        <w:jc w:val="both"/>
        <w:rPr>
          <w:rFonts w:ascii="Arial" w:hAnsi="Arial" w:cs="Arial"/>
          <w:szCs w:val="20"/>
          <w:lang w:val="en-GB"/>
        </w:rPr>
      </w:pPr>
      <w:r w:rsidRPr="00825DF0">
        <w:rPr>
          <w:rFonts w:ascii="Arial" w:hAnsi="Arial" w:cs="Arial"/>
          <w:szCs w:val="20"/>
          <w:u w:val="single"/>
          <w:lang w:val="en-GB"/>
        </w:rPr>
        <w:t>The Seed Capital Loan</w:t>
      </w:r>
      <w:r w:rsidRPr="00825DF0">
        <w:rPr>
          <w:rFonts w:ascii="Arial" w:hAnsi="Arial" w:cs="Arial"/>
          <w:szCs w:val="20"/>
          <w:lang w:val="en-GB"/>
        </w:rPr>
        <w:t xml:space="preserve"> (PAI EIF): €100 million 40% guaranteed by the EIF to boost the financial structure of young businesses accessing new equity. Financing tickets of up to €500,000.  </w:t>
      </w:r>
    </w:p>
    <w:p w:rsidR="005837AE" w:rsidRPr="00825DF0" w:rsidRDefault="005837AE" w:rsidP="005837AE">
      <w:pPr>
        <w:jc w:val="both"/>
        <w:rPr>
          <w:rFonts w:ascii="Arial" w:hAnsi="Arial" w:cs="Arial"/>
          <w:szCs w:val="20"/>
          <w:lang w:val="en-GB"/>
        </w:rPr>
      </w:pPr>
    </w:p>
    <w:p w:rsidR="005837AE" w:rsidRPr="00825DF0" w:rsidRDefault="005837AE" w:rsidP="005837AE">
      <w:pPr>
        <w:jc w:val="both"/>
        <w:rPr>
          <w:rFonts w:ascii="Arial" w:hAnsi="Arial" w:cs="Arial"/>
          <w:szCs w:val="20"/>
          <w:lang w:val="en-GB"/>
        </w:rPr>
      </w:pPr>
      <w:r w:rsidRPr="00825DF0">
        <w:rPr>
          <w:rFonts w:ascii="Arial" w:hAnsi="Arial" w:cs="Arial"/>
          <w:szCs w:val="20"/>
          <w:lang w:val="en-GB"/>
        </w:rPr>
        <w:t>In February 2016, eight months after the programme was launched, over 50% of the total financing had been allocated and over 700 businesses had already received the benefit of these loans (target = 1,245 recipient businesses). The programme was fully committed in September 2016.</w:t>
      </w:r>
    </w:p>
    <w:p w:rsidR="005837AE" w:rsidRPr="00825DF0" w:rsidRDefault="005837AE" w:rsidP="005837AE">
      <w:pPr>
        <w:jc w:val="both"/>
        <w:rPr>
          <w:rFonts w:ascii="Arial" w:hAnsi="Arial" w:cs="Arial"/>
          <w:szCs w:val="20"/>
          <w:lang w:val="en-GB"/>
        </w:rPr>
      </w:pPr>
    </w:p>
    <w:p w:rsidR="005837AE" w:rsidRPr="00825DF0" w:rsidRDefault="005837AE" w:rsidP="005837AE">
      <w:pPr>
        <w:numPr>
          <w:ilvl w:val="1"/>
          <w:numId w:val="1"/>
        </w:numPr>
        <w:jc w:val="both"/>
        <w:rPr>
          <w:rFonts w:ascii="Arial" w:hAnsi="Arial" w:cs="Arial"/>
          <w:b/>
          <w:bCs/>
          <w:szCs w:val="20"/>
          <w:u w:val="single"/>
          <w:lang w:val="en-GB"/>
        </w:rPr>
      </w:pPr>
      <w:r w:rsidRPr="00825DF0">
        <w:rPr>
          <w:rFonts w:ascii="Arial" w:hAnsi="Arial" w:cs="Arial"/>
          <w:b/>
          <w:bCs/>
          <w:szCs w:val="20"/>
          <w:u w:val="single"/>
          <w:lang w:val="en-GB"/>
        </w:rPr>
        <w:t>InnovFin SMEG 2 agreement: loans for innovative SMEs and small mid-caps guaranteed by the EIF</w:t>
      </w:r>
    </w:p>
    <w:p w:rsidR="005837AE" w:rsidRPr="00825DF0" w:rsidRDefault="005837AE" w:rsidP="005837AE">
      <w:pPr>
        <w:jc w:val="both"/>
        <w:rPr>
          <w:rFonts w:ascii="Arial" w:hAnsi="Arial" w:cs="Arial"/>
          <w:szCs w:val="20"/>
          <w:lang w:val="en-GB"/>
        </w:rPr>
      </w:pPr>
    </w:p>
    <w:p w:rsidR="005837AE" w:rsidRDefault="005837AE" w:rsidP="005837AE">
      <w:pPr>
        <w:jc w:val="both"/>
        <w:rPr>
          <w:rFonts w:ascii="Arial" w:hAnsi="Arial" w:cs="Arial"/>
          <w:b/>
          <w:bCs/>
          <w:szCs w:val="20"/>
          <w:lang w:val="en-GB"/>
        </w:rPr>
      </w:pPr>
      <w:r w:rsidRPr="00825DF0">
        <w:rPr>
          <w:rFonts w:ascii="Arial" w:hAnsi="Arial" w:cs="Arial"/>
          <w:szCs w:val="20"/>
          <w:lang w:val="en-GB"/>
        </w:rPr>
        <w:t xml:space="preserve">Because of the pace of production, a new guarantee contract with the EIF covering the same products (PI EIF and PAI EIF) for a further portfolio of €420 million was approved by the EIF Board of Directors on 11 April 2016 and was signed in October 2016. Thanks to this new contract, an additional </w:t>
      </w:r>
      <w:r w:rsidRPr="00825DF0">
        <w:rPr>
          <w:rFonts w:ascii="Arial" w:hAnsi="Arial" w:cs="Arial"/>
          <w:b/>
          <w:bCs/>
          <w:szCs w:val="20"/>
          <w:lang w:val="en-GB"/>
        </w:rPr>
        <w:t>1,245 SMEs</w:t>
      </w:r>
      <w:r w:rsidRPr="00825DF0">
        <w:rPr>
          <w:rFonts w:ascii="Arial" w:hAnsi="Arial" w:cs="Arial"/>
          <w:szCs w:val="20"/>
          <w:lang w:val="en-GB"/>
        </w:rPr>
        <w:t xml:space="preserve"> and small mid-caps should be able to benefit from these two loan programmes, bringing the total number of recipients up to </w:t>
      </w:r>
      <w:r w:rsidRPr="00825DF0">
        <w:rPr>
          <w:rFonts w:ascii="Arial" w:hAnsi="Arial" w:cs="Arial"/>
          <w:b/>
          <w:bCs/>
          <w:szCs w:val="20"/>
          <w:lang w:val="en-GB"/>
        </w:rPr>
        <w:t>2,500 businesses.</w:t>
      </w:r>
    </w:p>
    <w:p w:rsidR="0025754B" w:rsidRDefault="0025754B" w:rsidP="005837AE">
      <w:pPr>
        <w:jc w:val="both"/>
        <w:rPr>
          <w:rFonts w:ascii="Arial" w:hAnsi="Arial" w:cs="Arial"/>
          <w:b/>
          <w:bCs/>
          <w:szCs w:val="20"/>
          <w:lang w:val="en-GB"/>
        </w:rPr>
      </w:pPr>
    </w:p>
    <w:p w:rsidR="0025754B" w:rsidRPr="0025754B" w:rsidRDefault="0025754B" w:rsidP="005837AE">
      <w:pPr>
        <w:jc w:val="both"/>
        <w:rPr>
          <w:rFonts w:ascii="Arial" w:hAnsi="Arial" w:cs="Arial"/>
          <w:bCs/>
          <w:szCs w:val="20"/>
          <w:lang w:val="en-GB"/>
        </w:rPr>
      </w:pPr>
      <w:r>
        <w:rPr>
          <w:rFonts w:ascii="Arial" w:hAnsi="Arial" w:cs="Arial"/>
          <w:b/>
          <w:bCs/>
          <w:szCs w:val="20"/>
          <w:lang w:val="en-GB"/>
        </w:rPr>
        <w:t xml:space="preserve">NB: </w:t>
      </w:r>
      <w:r>
        <w:rPr>
          <w:rFonts w:ascii="Arial" w:hAnsi="Arial" w:cs="Arial"/>
          <w:bCs/>
          <w:szCs w:val="20"/>
          <w:lang w:val="en-GB"/>
        </w:rPr>
        <w:t>discussions are on</w:t>
      </w:r>
      <w:r w:rsidRPr="0025754B">
        <w:rPr>
          <w:rFonts w:ascii="Arial" w:hAnsi="Arial" w:cs="Arial"/>
          <w:bCs/>
          <w:szCs w:val="20"/>
          <w:lang w:val="en-GB"/>
        </w:rPr>
        <w:t xml:space="preserve">going between </w:t>
      </w:r>
      <w:proofErr w:type="spellStart"/>
      <w:r w:rsidRPr="0025754B">
        <w:rPr>
          <w:rFonts w:ascii="Arial" w:hAnsi="Arial" w:cs="Arial"/>
          <w:bCs/>
          <w:szCs w:val="20"/>
          <w:lang w:val="en-GB"/>
        </w:rPr>
        <w:t>Bpifrance</w:t>
      </w:r>
      <w:proofErr w:type="spellEnd"/>
      <w:r w:rsidRPr="0025754B">
        <w:rPr>
          <w:rFonts w:ascii="Arial" w:hAnsi="Arial" w:cs="Arial"/>
          <w:bCs/>
          <w:szCs w:val="20"/>
          <w:lang w:val="en-GB"/>
        </w:rPr>
        <w:t xml:space="preserve"> and EIB for </w:t>
      </w:r>
      <w:r>
        <w:rPr>
          <w:rFonts w:ascii="Arial" w:hAnsi="Arial" w:cs="Arial"/>
          <w:bCs/>
          <w:szCs w:val="20"/>
          <w:lang w:val="en-GB"/>
        </w:rPr>
        <w:t>m</w:t>
      </w:r>
      <w:r w:rsidRPr="0025754B">
        <w:rPr>
          <w:rFonts w:ascii="Arial" w:hAnsi="Arial" w:cs="Arial"/>
          <w:bCs/>
          <w:szCs w:val="20"/>
          <w:lang w:val="en-GB"/>
        </w:rPr>
        <w:t xml:space="preserve">ed/long-term loans to innovative mid-caps guaranteed by the EIB, in the framework of </w:t>
      </w:r>
      <w:proofErr w:type="spellStart"/>
      <w:r w:rsidRPr="0025754B">
        <w:rPr>
          <w:rFonts w:ascii="Arial" w:hAnsi="Arial" w:cs="Arial"/>
          <w:bCs/>
          <w:szCs w:val="20"/>
          <w:lang w:val="en-GB"/>
        </w:rPr>
        <w:t>InnovFin</w:t>
      </w:r>
      <w:proofErr w:type="spellEnd"/>
      <w:r w:rsidRPr="0025754B">
        <w:rPr>
          <w:rFonts w:ascii="Arial" w:hAnsi="Arial" w:cs="Arial"/>
          <w:bCs/>
          <w:szCs w:val="20"/>
          <w:lang w:val="en-GB"/>
        </w:rPr>
        <w:t xml:space="preserve"> program. </w:t>
      </w:r>
    </w:p>
    <w:p w:rsidR="002D4E65" w:rsidRPr="002D4E65" w:rsidRDefault="002D4E65" w:rsidP="002D4E65">
      <w:pPr>
        <w:jc w:val="both"/>
        <w:rPr>
          <w:rFonts w:ascii="Arial" w:hAnsi="Arial" w:cs="Arial"/>
          <w:b/>
          <w:bCs/>
          <w:szCs w:val="20"/>
          <w:u w:val="single"/>
          <w:lang w:val="en-GB"/>
        </w:rPr>
      </w:pPr>
    </w:p>
    <w:p w:rsidR="005837AE" w:rsidRPr="00825DF0" w:rsidRDefault="005837AE" w:rsidP="005837AE">
      <w:pPr>
        <w:numPr>
          <w:ilvl w:val="1"/>
          <w:numId w:val="1"/>
        </w:numPr>
        <w:jc w:val="both"/>
        <w:rPr>
          <w:rFonts w:ascii="Arial" w:hAnsi="Arial" w:cs="Arial"/>
          <w:b/>
          <w:bCs/>
          <w:szCs w:val="20"/>
          <w:u w:val="single"/>
          <w:lang w:val="en-GB"/>
        </w:rPr>
      </w:pPr>
      <w:r w:rsidRPr="00825DF0">
        <w:rPr>
          <w:rFonts w:ascii="Arial" w:hAnsi="Arial" w:cs="Arial"/>
          <w:b/>
          <w:bCs/>
          <w:szCs w:val="20"/>
          <w:u w:val="single"/>
          <w:lang w:val="en-GB"/>
        </w:rPr>
        <w:t>“Creative Industries” SME Loan</w:t>
      </w:r>
    </w:p>
    <w:p w:rsidR="005837AE" w:rsidRPr="00825DF0" w:rsidRDefault="005837AE" w:rsidP="005837AE">
      <w:pPr>
        <w:jc w:val="both"/>
        <w:rPr>
          <w:rFonts w:ascii="Arial" w:hAnsi="Arial" w:cs="Arial"/>
          <w:szCs w:val="20"/>
          <w:lang w:val="en-GB"/>
        </w:rPr>
      </w:pPr>
    </w:p>
    <w:p w:rsidR="005837AE" w:rsidRPr="00825DF0" w:rsidRDefault="005837AE" w:rsidP="005837AE">
      <w:pPr>
        <w:jc w:val="both"/>
        <w:rPr>
          <w:rFonts w:ascii="Arial" w:hAnsi="Arial" w:cs="Arial"/>
          <w:szCs w:val="20"/>
          <w:lang w:val="en-GB"/>
        </w:rPr>
      </w:pPr>
      <w:r w:rsidRPr="00825DF0">
        <w:rPr>
          <w:rFonts w:ascii="Arial" w:hAnsi="Arial" w:cs="Arial"/>
          <w:szCs w:val="20"/>
          <w:lang w:val="en-GB"/>
        </w:rPr>
        <w:t xml:space="preserve">At the beginning of 2017, a new Bpifrance loan is becoming available for SMEs in the creative industries sector, under the wing of the EIF’s new “Cultural and Creative Sector Guarantee Facility” (CCS). The programme has funding of €30 million, with €21 million of it guaranteed by the EIF. The agreement has been approved by the EIF Board and should be signed at the beginning of 2017. </w:t>
      </w:r>
    </w:p>
    <w:p w:rsidR="005837AE" w:rsidRPr="00825DF0" w:rsidRDefault="005837AE" w:rsidP="005837AE">
      <w:pPr>
        <w:jc w:val="both"/>
        <w:rPr>
          <w:rFonts w:ascii="Arial" w:hAnsi="Arial" w:cs="Arial"/>
          <w:szCs w:val="20"/>
          <w:lang w:val="en-GB"/>
        </w:rPr>
      </w:pPr>
    </w:p>
    <w:p w:rsidR="005837AE" w:rsidRPr="00825DF0" w:rsidRDefault="005837AE" w:rsidP="005837AE">
      <w:pPr>
        <w:jc w:val="both"/>
        <w:rPr>
          <w:rFonts w:ascii="Arial" w:hAnsi="Arial" w:cs="Arial"/>
          <w:szCs w:val="20"/>
          <w:lang w:val="en-GB"/>
        </w:rPr>
      </w:pPr>
      <w:r w:rsidRPr="00825DF0">
        <w:rPr>
          <w:rFonts w:ascii="Arial" w:hAnsi="Arial" w:cs="Arial"/>
          <w:b/>
          <w:bCs/>
          <w:szCs w:val="20"/>
          <w:u w:val="single"/>
          <w:lang w:val="en-GB"/>
        </w:rPr>
        <w:t>Please note</w:t>
      </w:r>
      <w:r w:rsidRPr="00825DF0">
        <w:rPr>
          <w:rFonts w:ascii="Arial" w:hAnsi="Arial" w:cs="Arial"/>
          <w:szCs w:val="20"/>
          <w:lang w:val="en-GB"/>
        </w:rPr>
        <w:t xml:space="preserve">: </w:t>
      </w:r>
      <w:r w:rsidR="00A936AD" w:rsidRPr="00825DF0">
        <w:rPr>
          <w:rFonts w:ascii="Arial" w:hAnsi="Arial" w:cs="Arial"/>
          <w:szCs w:val="20"/>
          <w:lang w:val="en-GB"/>
        </w:rPr>
        <w:t xml:space="preserve">The </w:t>
      </w:r>
      <w:r w:rsidRPr="00825DF0">
        <w:rPr>
          <w:rFonts w:ascii="Arial" w:hAnsi="Arial" w:cs="Arial"/>
          <w:szCs w:val="20"/>
          <w:lang w:val="en-GB"/>
        </w:rPr>
        <w:t xml:space="preserve">“EFSI” classification of this project is still uncertain. The CCS guarantee is currently in the pilot phase and will only receive EFSI funding after that. </w:t>
      </w:r>
    </w:p>
    <w:p w:rsidR="005837AE" w:rsidRPr="00825DF0" w:rsidRDefault="005837AE" w:rsidP="005837AE">
      <w:pPr>
        <w:jc w:val="both"/>
        <w:rPr>
          <w:rFonts w:ascii="Arial" w:hAnsi="Arial" w:cs="Arial"/>
          <w:szCs w:val="20"/>
          <w:lang w:val="en-GB"/>
        </w:rPr>
      </w:pPr>
    </w:p>
    <w:p w:rsidR="005837AE" w:rsidRPr="00825DF0" w:rsidRDefault="005837AE" w:rsidP="005837AE">
      <w:pPr>
        <w:jc w:val="both"/>
        <w:rPr>
          <w:rFonts w:ascii="Arial" w:hAnsi="Arial" w:cs="Arial"/>
          <w:szCs w:val="20"/>
          <w:lang w:val="en-GB"/>
        </w:rPr>
      </w:pPr>
    </w:p>
    <w:p w:rsidR="005837AE" w:rsidRPr="00825DF0" w:rsidRDefault="005837AE" w:rsidP="007F2EAB">
      <w:pPr>
        <w:numPr>
          <w:ilvl w:val="0"/>
          <w:numId w:val="4"/>
        </w:numPr>
        <w:jc w:val="both"/>
        <w:rPr>
          <w:rFonts w:ascii="Arial" w:hAnsi="Arial" w:cs="Arial"/>
          <w:b/>
          <w:bCs/>
          <w:color w:val="FFCD00" w:themeColor="accent1"/>
          <w:sz w:val="24"/>
          <w:szCs w:val="24"/>
          <w:u w:val="single"/>
          <w:lang w:val="en-GB"/>
        </w:rPr>
      </w:pPr>
      <w:r w:rsidRPr="00825DF0">
        <w:rPr>
          <w:rFonts w:ascii="Arial" w:hAnsi="Arial" w:cs="Arial"/>
          <w:b/>
          <w:bCs/>
          <w:color w:val="FFCD00" w:themeColor="accent1"/>
          <w:sz w:val="24"/>
          <w:szCs w:val="24"/>
          <w:u w:val="single"/>
          <w:lang w:val="en-GB"/>
        </w:rPr>
        <w:t xml:space="preserve">Equity </w:t>
      </w:r>
    </w:p>
    <w:p w:rsidR="005837AE" w:rsidRPr="00825DF0" w:rsidRDefault="005837AE" w:rsidP="005837AE">
      <w:pPr>
        <w:jc w:val="both"/>
        <w:rPr>
          <w:rFonts w:ascii="Arial" w:hAnsi="Arial" w:cs="Arial"/>
          <w:b/>
          <w:bCs/>
          <w:szCs w:val="20"/>
          <w:u w:val="single"/>
          <w:lang w:val="en-GB"/>
        </w:rPr>
      </w:pPr>
    </w:p>
    <w:p w:rsidR="005837AE" w:rsidRPr="00825DF0" w:rsidRDefault="005837AE" w:rsidP="007F2EAB">
      <w:pPr>
        <w:numPr>
          <w:ilvl w:val="1"/>
          <w:numId w:val="5"/>
        </w:numPr>
        <w:jc w:val="both"/>
        <w:rPr>
          <w:rFonts w:ascii="Arial" w:hAnsi="Arial" w:cs="Arial"/>
          <w:b/>
          <w:bCs/>
          <w:szCs w:val="20"/>
          <w:u w:val="single"/>
          <w:lang w:val="en-GB"/>
        </w:rPr>
      </w:pPr>
      <w:r w:rsidRPr="00825DF0">
        <w:rPr>
          <w:rFonts w:ascii="Arial" w:hAnsi="Arial" w:cs="Arial"/>
          <w:b/>
          <w:bCs/>
          <w:szCs w:val="20"/>
          <w:u w:val="single"/>
          <w:lang w:val="en-GB"/>
        </w:rPr>
        <w:t>Co-investments with the EIF in French investment funds</w:t>
      </w:r>
    </w:p>
    <w:p w:rsidR="005837AE" w:rsidRPr="00825DF0" w:rsidRDefault="005837AE" w:rsidP="005837AE">
      <w:pPr>
        <w:jc w:val="both"/>
        <w:rPr>
          <w:rFonts w:ascii="Arial" w:hAnsi="Arial" w:cs="Arial"/>
          <w:szCs w:val="20"/>
          <w:lang w:val="en-GB"/>
        </w:rPr>
      </w:pPr>
    </w:p>
    <w:p w:rsidR="005837AE" w:rsidRPr="00825DF0" w:rsidRDefault="005837AE" w:rsidP="007F2EAB">
      <w:pPr>
        <w:pStyle w:val="Paragraphedeliste"/>
        <w:numPr>
          <w:ilvl w:val="0"/>
          <w:numId w:val="9"/>
        </w:numPr>
        <w:ind w:left="426" w:hanging="426"/>
        <w:jc w:val="both"/>
        <w:rPr>
          <w:rFonts w:ascii="Arial" w:hAnsi="Arial" w:cs="Arial"/>
          <w:szCs w:val="20"/>
          <w:lang w:val="en-GB"/>
        </w:rPr>
      </w:pPr>
      <w:r w:rsidRPr="00825DF0">
        <w:rPr>
          <w:rFonts w:ascii="Arial" w:hAnsi="Arial" w:cs="Arial"/>
          <w:b/>
          <w:bCs/>
          <w:szCs w:val="20"/>
          <w:u w:val="single"/>
          <w:lang w:val="en-GB"/>
        </w:rPr>
        <w:t>Background:</w:t>
      </w:r>
      <w:r w:rsidRPr="00825DF0">
        <w:rPr>
          <w:rFonts w:ascii="Arial" w:hAnsi="Arial" w:cs="Arial"/>
          <w:szCs w:val="20"/>
          <w:lang w:val="en-GB"/>
        </w:rPr>
        <w:t xml:space="preserve"> </w:t>
      </w:r>
      <w:r w:rsidR="00A936AD" w:rsidRPr="00825DF0">
        <w:rPr>
          <w:rFonts w:ascii="Arial" w:hAnsi="Arial" w:cs="Arial"/>
          <w:szCs w:val="20"/>
          <w:lang w:val="en-GB"/>
        </w:rPr>
        <w:t xml:space="preserve">Of </w:t>
      </w:r>
      <w:r w:rsidRPr="00825DF0">
        <w:rPr>
          <w:rFonts w:ascii="Arial" w:hAnsi="Arial" w:cs="Arial"/>
          <w:szCs w:val="20"/>
          <w:lang w:val="en-GB"/>
        </w:rPr>
        <w:t xml:space="preserve">the €5 billion in European funding of the Juncker Plan SME window, €2.5 billion were contributed by the EIB to the EIF via an increase in the RCR (Risk Capital Resources) mandate, the main EIF equity mandate. These funds are in particular used for purposes of co-investment with </w:t>
      </w:r>
      <w:r w:rsidRPr="00825DF0">
        <w:rPr>
          <w:rFonts w:ascii="Arial" w:hAnsi="Arial" w:cs="Arial"/>
          <w:szCs w:val="20"/>
          <w:lang w:val="en-GB"/>
        </w:rPr>
        <w:lastRenderedPageBreak/>
        <w:t xml:space="preserve">Bpifrance in French venture capital and private equity funds, under the co-investment agreement signed in December 2014. </w:t>
      </w:r>
    </w:p>
    <w:p w:rsidR="005837AE" w:rsidRPr="00825DF0" w:rsidRDefault="005837AE" w:rsidP="005837AE">
      <w:pPr>
        <w:pStyle w:val="Paragraphedeliste"/>
        <w:ind w:left="426" w:hanging="426"/>
        <w:jc w:val="both"/>
        <w:rPr>
          <w:rFonts w:ascii="Arial" w:hAnsi="Arial" w:cs="Arial"/>
          <w:szCs w:val="20"/>
          <w:lang w:val="en-GB"/>
        </w:rPr>
      </w:pPr>
    </w:p>
    <w:p w:rsidR="005837AE" w:rsidRPr="00825DF0" w:rsidRDefault="005837AE" w:rsidP="007F2EAB">
      <w:pPr>
        <w:pStyle w:val="Paragraphedeliste"/>
        <w:numPr>
          <w:ilvl w:val="0"/>
          <w:numId w:val="9"/>
        </w:numPr>
        <w:ind w:left="426" w:hanging="426"/>
        <w:jc w:val="both"/>
        <w:rPr>
          <w:rFonts w:ascii="Arial" w:hAnsi="Arial" w:cs="Arial"/>
          <w:szCs w:val="20"/>
          <w:lang w:val="en-GB"/>
        </w:rPr>
      </w:pPr>
      <w:r w:rsidRPr="00825DF0">
        <w:rPr>
          <w:rFonts w:ascii="Arial" w:hAnsi="Arial" w:cs="Arial"/>
          <w:b/>
          <w:bCs/>
          <w:szCs w:val="20"/>
          <w:u w:val="single"/>
          <w:lang w:val="en-GB"/>
        </w:rPr>
        <w:t>Results</w:t>
      </w:r>
      <w:r w:rsidRPr="00825DF0">
        <w:rPr>
          <w:rFonts w:ascii="Arial" w:hAnsi="Arial" w:cs="Arial"/>
          <w:szCs w:val="20"/>
          <w:lang w:val="en-GB"/>
        </w:rPr>
        <w:t xml:space="preserve">: </w:t>
      </w:r>
      <w:r w:rsidR="00A936AD" w:rsidRPr="00825DF0">
        <w:rPr>
          <w:rFonts w:ascii="Arial" w:hAnsi="Arial" w:cs="Arial"/>
          <w:szCs w:val="20"/>
          <w:lang w:val="en-GB"/>
        </w:rPr>
        <w:t xml:space="preserve">In </w:t>
      </w:r>
      <w:r w:rsidRPr="00825DF0">
        <w:rPr>
          <w:rFonts w:ascii="Arial" w:hAnsi="Arial" w:cs="Arial"/>
          <w:szCs w:val="20"/>
          <w:lang w:val="en-GB"/>
        </w:rPr>
        <w:t xml:space="preserve">2015, Bpifrance and the EIF jointly invested </w:t>
      </w:r>
      <w:r w:rsidRPr="00825DF0">
        <w:rPr>
          <w:rFonts w:ascii="Arial" w:hAnsi="Arial" w:cs="Arial"/>
          <w:b/>
          <w:bCs/>
          <w:szCs w:val="20"/>
          <w:lang w:val="en-GB"/>
        </w:rPr>
        <w:t xml:space="preserve">€580 million </w:t>
      </w:r>
      <w:r w:rsidRPr="00825DF0">
        <w:rPr>
          <w:rFonts w:ascii="Arial" w:hAnsi="Arial" w:cs="Arial"/>
          <w:szCs w:val="20"/>
          <w:lang w:val="en-GB"/>
        </w:rPr>
        <w:t>in seven French investment funds (</w:t>
      </w:r>
      <w:r w:rsidRPr="00825DF0">
        <w:rPr>
          <w:rFonts w:ascii="Arial" w:hAnsi="Arial" w:cs="Arial"/>
          <w:b/>
          <w:bCs/>
          <w:szCs w:val="20"/>
          <w:lang w:val="en-GB"/>
        </w:rPr>
        <w:t xml:space="preserve">€302 million </w:t>
      </w:r>
      <w:r w:rsidRPr="00825DF0">
        <w:rPr>
          <w:rFonts w:ascii="Arial" w:hAnsi="Arial" w:cs="Arial"/>
          <w:szCs w:val="20"/>
          <w:lang w:val="en-GB"/>
        </w:rPr>
        <w:t xml:space="preserve">by Bpifrance and </w:t>
      </w:r>
      <w:r w:rsidRPr="00825DF0">
        <w:rPr>
          <w:rFonts w:ascii="Arial" w:hAnsi="Arial" w:cs="Arial"/>
          <w:b/>
          <w:bCs/>
          <w:szCs w:val="20"/>
          <w:lang w:val="en-GB"/>
        </w:rPr>
        <w:t xml:space="preserve">€277 million </w:t>
      </w:r>
      <w:r w:rsidRPr="00825DF0">
        <w:rPr>
          <w:rFonts w:ascii="Arial" w:hAnsi="Arial" w:cs="Arial"/>
          <w:szCs w:val="20"/>
          <w:lang w:val="en-GB"/>
        </w:rPr>
        <w:t xml:space="preserve">from the EIF out of the RCR mandate). </w:t>
      </w:r>
    </w:p>
    <w:p w:rsidR="005837AE" w:rsidRPr="00825DF0" w:rsidRDefault="005837AE" w:rsidP="005837AE">
      <w:pPr>
        <w:jc w:val="both"/>
        <w:rPr>
          <w:rFonts w:ascii="Arial" w:hAnsi="Arial" w:cs="Arial"/>
          <w:szCs w:val="20"/>
          <w:lang w:val="en-GB"/>
        </w:rPr>
      </w:pPr>
    </w:p>
    <w:p w:rsidR="005837AE" w:rsidRPr="00825DF0" w:rsidRDefault="005837AE" w:rsidP="005837AE">
      <w:pPr>
        <w:jc w:val="both"/>
        <w:rPr>
          <w:rFonts w:ascii="Arial" w:hAnsi="Arial" w:cs="Arial"/>
          <w:szCs w:val="20"/>
          <w:lang w:val="en-GB"/>
        </w:rPr>
      </w:pPr>
      <w:r w:rsidRPr="00825DF0">
        <w:rPr>
          <w:rFonts w:ascii="Arial" w:hAnsi="Arial" w:cs="Arial"/>
          <w:szCs w:val="20"/>
          <w:lang w:val="en-GB"/>
        </w:rPr>
        <w:t xml:space="preserve">It should be noted that Bpifrance may also occasionally co-invest alongside the EIB, particularly in funds targeting infrastructure projects in the field of renewable energies, for example the </w:t>
      </w:r>
      <w:proofErr w:type="spellStart"/>
      <w:r w:rsidRPr="00825DF0">
        <w:rPr>
          <w:rFonts w:ascii="Arial" w:hAnsi="Arial" w:cs="Arial"/>
          <w:szCs w:val="20"/>
          <w:lang w:val="en-GB"/>
        </w:rPr>
        <w:t>Capenergie</w:t>
      </w:r>
      <w:proofErr w:type="spellEnd"/>
      <w:r w:rsidRPr="00825DF0">
        <w:rPr>
          <w:rFonts w:ascii="Arial" w:hAnsi="Arial" w:cs="Arial"/>
          <w:szCs w:val="20"/>
          <w:lang w:val="en-GB"/>
        </w:rPr>
        <w:t xml:space="preserve"> 3 fund in July 2015 (€15 million Bpifrance, €50 million EIB). </w:t>
      </w:r>
    </w:p>
    <w:p w:rsidR="005837AE" w:rsidRPr="00825DF0" w:rsidRDefault="005837AE" w:rsidP="005837AE">
      <w:pPr>
        <w:jc w:val="both"/>
        <w:rPr>
          <w:rFonts w:ascii="Arial" w:hAnsi="Arial" w:cs="Arial"/>
          <w:bCs/>
          <w:szCs w:val="20"/>
          <w:lang w:val="en-GB"/>
        </w:rPr>
      </w:pPr>
    </w:p>
    <w:p w:rsidR="005837AE" w:rsidRPr="00825DF0" w:rsidRDefault="005837AE" w:rsidP="007F2EAB">
      <w:pPr>
        <w:numPr>
          <w:ilvl w:val="1"/>
          <w:numId w:val="5"/>
        </w:numPr>
        <w:jc w:val="both"/>
        <w:rPr>
          <w:rFonts w:ascii="Arial" w:hAnsi="Arial" w:cs="Arial"/>
          <w:bCs/>
          <w:szCs w:val="20"/>
          <w:lang w:val="en-GB"/>
        </w:rPr>
      </w:pPr>
      <w:r w:rsidRPr="00825DF0">
        <w:rPr>
          <w:rFonts w:ascii="Arial" w:hAnsi="Arial" w:cs="Arial"/>
          <w:b/>
          <w:bCs/>
          <w:szCs w:val="20"/>
          <w:u w:val="single"/>
          <w:lang w:val="en-GB"/>
        </w:rPr>
        <w:t xml:space="preserve">EIB support for the </w:t>
      </w:r>
      <w:proofErr w:type="spellStart"/>
      <w:r w:rsidRPr="00825DF0">
        <w:rPr>
          <w:rFonts w:ascii="Arial" w:hAnsi="Arial" w:cs="Arial"/>
          <w:b/>
          <w:bCs/>
          <w:i/>
          <w:iCs/>
          <w:szCs w:val="20"/>
          <w:u w:val="single"/>
          <w:lang w:val="en-GB"/>
        </w:rPr>
        <w:t>Société</w:t>
      </w:r>
      <w:proofErr w:type="spellEnd"/>
      <w:r w:rsidRPr="00825DF0">
        <w:rPr>
          <w:rFonts w:ascii="Arial" w:hAnsi="Arial" w:cs="Arial"/>
          <w:b/>
          <w:bCs/>
          <w:i/>
          <w:iCs/>
          <w:szCs w:val="20"/>
          <w:u w:val="single"/>
          <w:lang w:val="en-GB"/>
        </w:rPr>
        <w:t xml:space="preserve"> de </w:t>
      </w:r>
      <w:proofErr w:type="spellStart"/>
      <w:r w:rsidRPr="00825DF0">
        <w:rPr>
          <w:rFonts w:ascii="Arial" w:hAnsi="Arial" w:cs="Arial"/>
          <w:b/>
          <w:bCs/>
          <w:i/>
          <w:iCs/>
          <w:szCs w:val="20"/>
          <w:u w:val="single"/>
          <w:lang w:val="en-GB"/>
        </w:rPr>
        <w:t>projets</w:t>
      </w:r>
      <w:proofErr w:type="spellEnd"/>
      <w:r w:rsidRPr="00825DF0">
        <w:rPr>
          <w:rFonts w:ascii="Arial" w:hAnsi="Arial" w:cs="Arial"/>
          <w:b/>
          <w:bCs/>
          <w:i/>
          <w:iCs/>
          <w:szCs w:val="20"/>
          <w:u w:val="single"/>
          <w:lang w:val="en-GB"/>
        </w:rPr>
        <w:t xml:space="preserve"> </w:t>
      </w:r>
      <w:proofErr w:type="spellStart"/>
      <w:r w:rsidRPr="00825DF0">
        <w:rPr>
          <w:rFonts w:ascii="Arial" w:hAnsi="Arial" w:cs="Arial"/>
          <w:b/>
          <w:bCs/>
          <w:i/>
          <w:iCs/>
          <w:szCs w:val="20"/>
          <w:u w:val="single"/>
          <w:lang w:val="en-GB"/>
        </w:rPr>
        <w:t>industriels</w:t>
      </w:r>
      <w:proofErr w:type="spellEnd"/>
      <w:r w:rsidRPr="00825DF0">
        <w:rPr>
          <w:rFonts w:ascii="Arial" w:hAnsi="Arial" w:cs="Arial"/>
          <w:b/>
          <w:bCs/>
          <w:szCs w:val="20"/>
          <w:u w:val="single"/>
          <w:lang w:val="en-GB"/>
        </w:rPr>
        <w:t xml:space="preserve"> (SPI) fund</w:t>
      </w:r>
    </w:p>
    <w:p w:rsidR="005837AE" w:rsidRPr="00825DF0" w:rsidRDefault="005837AE" w:rsidP="005837AE">
      <w:pPr>
        <w:jc w:val="both"/>
        <w:rPr>
          <w:rFonts w:ascii="Arial" w:hAnsi="Arial" w:cs="Arial"/>
          <w:szCs w:val="20"/>
          <w:lang w:val="en-GB"/>
        </w:rPr>
      </w:pPr>
    </w:p>
    <w:p w:rsidR="005837AE" w:rsidRPr="00825DF0" w:rsidRDefault="005837AE" w:rsidP="007F2EAB">
      <w:pPr>
        <w:pStyle w:val="Paragraphedeliste"/>
        <w:numPr>
          <w:ilvl w:val="0"/>
          <w:numId w:val="10"/>
        </w:numPr>
        <w:ind w:left="426" w:hanging="426"/>
        <w:jc w:val="both"/>
        <w:rPr>
          <w:rFonts w:ascii="Arial" w:hAnsi="Arial" w:cs="Arial"/>
          <w:szCs w:val="20"/>
          <w:lang w:val="en-GB"/>
        </w:rPr>
      </w:pPr>
      <w:r w:rsidRPr="00825DF0">
        <w:rPr>
          <w:rFonts w:ascii="Arial" w:hAnsi="Arial" w:cs="Arial"/>
          <w:b/>
          <w:bCs/>
          <w:szCs w:val="20"/>
          <w:lang w:val="en-GB"/>
        </w:rPr>
        <w:t>Background</w:t>
      </w:r>
      <w:r w:rsidRPr="00825DF0">
        <w:rPr>
          <w:rFonts w:ascii="Arial" w:hAnsi="Arial" w:cs="Arial"/>
          <w:szCs w:val="20"/>
          <w:lang w:val="en-GB"/>
        </w:rPr>
        <w:t xml:space="preserve">: </w:t>
      </w:r>
      <w:r w:rsidR="00A936AD" w:rsidRPr="00825DF0">
        <w:rPr>
          <w:rFonts w:ascii="Arial" w:hAnsi="Arial" w:cs="Arial"/>
          <w:szCs w:val="20"/>
          <w:lang w:val="en-GB"/>
        </w:rPr>
        <w:t xml:space="preserve">Formed </w:t>
      </w:r>
      <w:r w:rsidRPr="00825DF0">
        <w:rPr>
          <w:rFonts w:ascii="Arial" w:hAnsi="Arial" w:cs="Arial"/>
          <w:szCs w:val="20"/>
          <w:lang w:val="en-GB"/>
        </w:rPr>
        <w:t xml:space="preserve">in 2015 and now with €700 million in PIA programme (French investment in the future initiative) funding, the SPI fund supports new technologies and industries through to the time they go into commercial production. The fund invests as a minority shareholder, matching other funding on identical terms, in tickets of between €10 million and €140 million. The fund has a substantial deal flow, suggesting that it is now too small for market needs. </w:t>
      </w:r>
    </w:p>
    <w:p w:rsidR="005837AE" w:rsidRPr="00825DF0" w:rsidRDefault="005837AE" w:rsidP="005837AE">
      <w:pPr>
        <w:pStyle w:val="Paragraphedeliste"/>
        <w:ind w:left="426" w:hanging="426"/>
        <w:jc w:val="both"/>
        <w:rPr>
          <w:rFonts w:ascii="Arial" w:hAnsi="Arial" w:cs="Arial"/>
          <w:szCs w:val="20"/>
          <w:lang w:val="en-GB"/>
        </w:rPr>
      </w:pPr>
    </w:p>
    <w:p w:rsidR="005837AE" w:rsidRPr="00825DF0" w:rsidRDefault="005837AE" w:rsidP="007F2EAB">
      <w:pPr>
        <w:pStyle w:val="Paragraphedeliste"/>
        <w:numPr>
          <w:ilvl w:val="0"/>
          <w:numId w:val="10"/>
        </w:numPr>
        <w:ind w:left="426" w:hanging="426"/>
        <w:jc w:val="both"/>
        <w:rPr>
          <w:rFonts w:ascii="Arial" w:hAnsi="Arial" w:cs="Arial"/>
          <w:szCs w:val="20"/>
          <w:lang w:val="en-GB"/>
        </w:rPr>
      </w:pPr>
      <w:r w:rsidRPr="00825DF0">
        <w:rPr>
          <w:rFonts w:ascii="Arial" w:hAnsi="Arial" w:cs="Arial"/>
          <w:b/>
          <w:bCs/>
          <w:szCs w:val="20"/>
          <w:lang w:val="en-GB"/>
        </w:rPr>
        <w:t>How support is provided</w:t>
      </w:r>
      <w:r w:rsidRPr="00825DF0">
        <w:rPr>
          <w:rFonts w:ascii="Arial" w:hAnsi="Arial" w:cs="Arial"/>
          <w:szCs w:val="20"/>
          <w:lang w:val="en-GB"/>
        </w:rPr>
        <w:t xml:space="preserve">: </w:t>
      </w:r>
      <w:r w:rsidR="00A936AD" w:rsidRPr="00825DF0">
        <w:rPr>
          <w:rFonts w:ascii="Arial" w:hAnsi="Arial" w:cs="Arial"/>
          <w:szCs w:val="20"/>
          <w:lang w:val="en-GB"/>
        </w:rPr>
        <w:t xml:space="preserve">Management </w:t>
      </w:r>
      <w:r w:rsidRPr="00825DF0">
        <w:rPr>
          <w:rFonts w:ascii="Arial" w:hAnsi="Arial" w:cs="Arial"/>
          <w:szCs w:val="20"/>
          <w:lang w:val="en-GB"/>
        </w:rPr>
        <w:t xml:space="preserve">of a parallel fund of €100 million is delegated to Bpifrance, 100% subscribed by the EIB which co-invests alongside the SPI fund. </w:t>
      </w:r>
    </w:p>
    <w:p w:rsidR="005837AE" w:rsidRPr="00825DF0" w:rsidRDefault="005837AE" w:rsidP="005837AE">
      <w:pPr>
        <w:ind w:left="426" w:hanging="426"/>
        <w:jc w:val="both"/>
        <w:rPr>
          <w:rFonts w:ascii="Arial" w:hAnsi="Arial" w:cs="Arial"/>
          <w:szCs w:val="20"/>
          <w:lang w:val="en-GB"/>
        </w:rPr>
      </w:pPr>
    </w:p>
    <w:p w:rsidR="005837AE" w:rsidRPr="00825DF0" w:rsidRDefault="005837AE" w:rsidP="007F2EAB">
      <w:pPr>
        <w:pStyle w:val="Paragraphedeliste"/>
        <w:numPr>
          <w:ilvl w:val="0"/>
          <w:numId w:val="10"/>
        </w:numPr>
        <w:ind w:left="426" w:hanging="426"/>
        <w:jc w:val="both"/>
        <w:rPr>
          <w:rFonts w:ascii="Arial" w:hAnsi="Arial" w:cs="Arial"/>
          <w:szCs w:val="20"/>
          <w:lang w:val="en-GB"/>
        </w:rPr>
      </w:pPr>
      <w:r w:rsidRPr="00825DF0">
        <w:rPr>
          <w:rFonts w:ascii="Arial" w:hAnsi="Arial" w:cs="Arial"/>
          <w:b/>
          <w:bCs/>
          <w:szCs w:val="20"/>
          <w:lang w:val="en-GB"/>
        </w:rPr>
        <w:t>State of progress</w:t>
      </w:r>
      <w:r w:rsidRPr="00825DF0">
        <w:rPr>
          <w:rFonts w:ascii="Arial" w:hAnsi="Arial" w:cs="Arial"/>
          <w:szCs w:val="20"/>
          <w:lang w:val="en-GB"/>
        </w:rPr>
        <w:t xml:space="preserve">: </w:t>
      </w:r>
      <w:r w:rsidR="00A936AD" w:rsidRPr="00825DF0">
        <w:rPr>
          <w:rFonts w:ascii="Arial" w:hAnsi="Arial" w:cs="Arial"/>
          <w:szCs w:val="20"/>
          <w:lang w:val="en-GB"/>
        </w:rPr>
        <w:t xml:space="preserve">Agreement </w:t>
      </w:r>
      <w:r w:rsidRPr="00825DF0">
        <w:rPr>
          <w:rFonts w:ascii="Arial" w:hAnsi="Arial" w:cs="Arial"/>
          <w:szCs w:val="20"/>
          <w:lang w:val="en-GB"/>
        </w:rPr>
        <w:t>approved on 12 April 2016 by the EIB Board and signed in August 2016.</w:t>
      </w:r>
    </w:p>
    <w:p w:rsidR="005837AE" w:rsidRPr="00825DF0" w:rsidRDefault="005837AE" w:rsidP="005837AE">
      <w:pPr>
        <w:jc w:val="both"/>
        <w:rPr>
          <w:rFonts w:ascii="Arial" w:hAnsi="Arial" w:cs="Arial"/>
          <w:szCs w:val="20"/>
          <w:lang w:val="en-GB"/>
        </w:rPr>
      </w:pPr>
    </w:p>
    <w:p w:rsidR="005837AE" w:rsidRPr="00825DF0" w:rsidRDefault="005837AE" w:rsidP="005837AE">
      <w:pPr>
        <w:jc w:val="both"/>
        <w:rPr>
          <w:rFonts w:ascii="Arial" w:hAnsi="Arial" w:cs="Arial"/>
          <w:szCs w:val="20"/>
          <w:lang w:val="en-GB"/>
        </w:rPr>
      </w:pPr>
    </w:p>
    <w:p w:rsidR="005837AE" w:rsidRPr="00825DF0" w:rsidRDefault="005837AE" w:rsidP="007F2EAB">
      <w:pPr>
        <w:numPr>
          <w:ilvl w:val="0"/>
          <w:numId w:val="4"/>
        </w:numPr>
        <w:jc w:val="both"/>
        <w:rPr>
          <w:rFonts w:ascii="Arial" w:hAnsi="Arial" w:cs="Arial"/>
          <w:b/>
          <w:bCs/>
          <w:color w:val="FFCD00" w:themeColor="accent1"/>
          <w:sz w:val="24"/>
          <w:szCs w:val="24"/>
          <w:u w:val="single"/>
          <w:lang w:val="en-GB"/>
        </w:rPr>
      </w:pPr>
      <w:r w:rsidRPr="00825DF0">
        <w:rPr>
          <w:rFonts w:ascii="Arial" w:hAnsi="Arial" w:cs="Arial"/>
          <w:b/>
          <w:bCs/>
          <w:color w:val="FFCD00" w:themeColor="accent1"/>
          <w:sz w:val="24"/>
          <w:szCs w:val="24"/>
          <w:u w:val="single"/>
          <w:lang w:val="en-GB"/>
        </w:rPr>
        <w:t xml:space="preserve">Securitisation </w:t>
      </w:r>
    </w:p>
    <w:p w:rsidR="005837AE" w:rsidRPr="00825DF0" w:rsidRDefault="005837AE" w:rsidP="005837AE">
      <w:pPr>
        <w:jc w:val="both"/>
        <w:rPr>
          <w:rFonts w:ascii="Arial" w:hAnsi="Arial" w:cs="Arial"/>
          <w:szCs w:val="20"/>
          <w:lang w:val="en-GB"/>
        </w:rPr>
      </w:pPr>
    </w:p>
    <w:p w:rsidR="005837AE" w:rsidRPr="00825DF0" w:rsidRDefault="005837AE" w:rsidP="005837AE">
      <w:pPr>
        <w:jc w:val="both"/>
        <w:rPr>
          <w:rFonts w:ascii="Arial" w:hAnsi="Arial" w:cs="Arial"/>
          <w:b/>
          <w:bCs/>
          <w:szCs w:val="20"/>
          <w:u w:val="single"/>
          <w:lang w:val="en-GB"/>
        </w:rPr>
      </w:pPr>
      <w:r w:rsidRPr="00825DF0">
        <w:rPr>
          <w:rFonts w:ascii="Arial" w:hAnsi="Arial" w:cs="Arial"/>
          <w:b/>
          <w:bCs/>
          <w:szCs w:val="20"/>
          <w:u w:val="single"/>
          <w:lang w:val="en-GB"/>
        </w:rPr>
        <w:t>ENSI securitisation platform</w:t>
      </w:r>
    </w:p>
    <w:p w:rsidR="005837AE" w:rsidRPr="00825DF0" w:rsidRDefault="005837AE" w:rsidP="005837AE">
      <w:pPr>
        <w:jc w:val="both"/>
        <w:rPr>
          <w:rFonts w:ascii="Arial" w:hAnsi="Arial" w:cs="Arial"/>
          <w:szCs w:val="20"/>
          <w:lang w:val="en-GB"/>
        </w:rPr>
      </w:pPr>
    </w:p>
    <w:p w:rsidR="005837AE" w:rsidRPr="00825DF0" w:rsidRDefault="005837AE" w:rsidP="005837AE">
      <w:pPr>
        <w:jc w:val="both"/>
        <w:rPr>
          <w:rFonts w:ascii="Arial" w:hAnsi="Arial" w:cs="Arial"/>
          <w:szCs w:val="20"/>
          <w:lang w:val="en-GB"/>
        </w:rPr>
      </w:pPr>
      <w:r w:rsidRPr="00825DF0">
        <w:rPr>
          <w:rFonts w:ascii="Arial" w:hAnsi="Arial" w:cs="Arial"/>
          <w:szCs w:val="20"/>
          <w:lang w:val="en-GB"/>
        </w:rPr>
        <w:t xml:space="preserve">This is a joint initiative between the EIF and the European development banks, launched on 12 July 2016 to stimulate securitisation of SME debts. It is intended to help originator banks wanting to securitise their SME debts to access all the participant development banks (KfW, CDP, BBB, ICO, SPGM, MDB and the EIF) through one single entity, their national development bank or the EIF, by filing a single application. The initiative also makes it possible to have one single due diligence process per transaction, common to all participant banks. Bpifrance is to act as guarantor for French transactions. </w:t>
      </w:r>
    </w:p>
    <w:p w:rsidR="005837AE" w:rsidRPr="00825DF0" w:rsidRDefault="005837AE" w:rsidP="005837AE">
      <w:pPr>
        <w:jc w:val="both"/>
        <w:rPr>
          <w:rFonts w:ascii="Arial" w:hAnsi="Arial" w:cs="Arial"/>
          <w:szCs w:val="20"/>
          <w:lang w:val="en-GB"/>
        </w:rPr>
      </w:pPr>
    </w:p>
    <w:p w:rsidR="009A160D" w:rsidRPr="00825DF0" w:rsidRDefault="009A160D" w:rsidP="008F1C02">
      <w:pPr>
        <w:pStyle w:val="Puce2"/>
        <w:numPr>
          <w:ilvl w:val="0"/>
          <w:numId w:val="0"/>
        </w:numPr>
        <w:spacing w:line="276" w:lineRule="auto"/>
        <w:ind w:left="680"/>
        <w:jc w:val="both"/>
        <w:rPr>
          <w:rFonts w:ascii="Arial" w:hAnsi="Arial" w:cs="Arial"/>
          <w:szCs w:val="20"/>
          <w:lang w:val="en-GB"/>
        </w:rPr>
      </w:pPr>
    </w:p>
    <w:p w:rsidR="00C71431" w:rsidRPr="00825DF0" w:rsidRDefault="00C71431" w:rsidP="00C71431">
      <w:pPr>
        <w:pStyle w:val="Titre1"/>
        <w:spacing w:before="0" w:after="0" w:line="276" w:lineRule="auto"/>
        <w:jc w:val="both"/>
        <w:rPr>
          <w:rFonts w:ascii="Arial" w:hAnsi="Arial" w:cs="Arial"/>
          <w:sz w:val="28"/>
          <w:lang w:val="en-GB"/>
        </w:rPr>
      </w:pPr>
      <w:r w:rsidRPr="00825DF0">
        <w:rPr>
          <w:rFonts w:ascii="Arial" w:hAnsi="Arial" w:cs="Arial"/>
          <w:sz w:val="28"/>
          <w:lang w:val="en-GB"/>
        </w:rPr>
        <w:t>proposals for future developments in the investment plan</w:t>
      </w:r>
    </w:p>
    <w:p w:rsidR="00C71431" w:rsidRPr="00825DF0" w:rsidRDefault="00C71431" w:rsidP="00F32290">
      <w:pPr>
        <w:spacing w:after="200" w:line="276" w:lineRule="auto"/>
        <w:jc w:val="both"/>
        <w:rPr>
          <w:sz w:val="8"/>
          <w:szCs w:val="8"/>
          <w:lang w:val="en-GB"/>
        </w:rPr>
      </w:pPr>
    </w:p>
    <w:p w:rsidR="00CE18C0" w:rsidRPr="00825DF0" w:rsidRDefault="00B410F6" w:rsidP="00CE18C0">
      <w:pPr>
        <w:pStyle w:val="Titre2"/>
        <w:rPr>
          <w:rFonts w:ascii="Arial" w:hAnsi="Arial" w:cs="Arial"/>
          <w:b/>
          <w:u w:val="single"/>
          <w:lang w:val="en-GB"/>
        </w:rPr>
      </w:pPr>
      <w:r w:rsidRPr="00825DF0">
        <w:rPr>
          <w:rFonts w:ascii="Arial" w:hAnsi="Arial" w:cs="Arial"/>
          <w:b/>
          <w:u w:val="single"/>
          <w:lang w:val="en-GB"/>
        </w:rPr>
        <w:t xml:space="preserve">Modifications to existing programmes </w:t>
      </w:r>
    </w:p>
    <w:p w:rsidR="00CE18C0" w:rsidRPr="00825DF0" w:rsidRDefault="00CE18C0" w:rsidP="00CE18C0">
      <w:pPr>
        <w:rPr>
          <w:lang w:val="en-GB"/>
        </w:rPr>
      </w:pPr>
    </w:p>
    <w:p w:rsidR="00CE18C0" w:rsidRPr="00825DF0" w:rsidRDefault="00C71431" w:rsidP="00EC2A46">
      <w:pPr>
        <w:pStyle w:val="Puce1"/>
        <w:spacing w:line="276" w:lineRule="auto"/>
        <w:jc w:val="both"/>
        <w:rPr>
          <w:rFonts w:ascii="Arial" w:hAnsi="Arial" w:cs="Arial"/>
          <w:szCs w:val="20"/>
          <w:lang w:val="en-GB"/>
        </w:rPr>
      </w:pPr>
      <w:r w:rsidRPr="00825DF0">
        <w:rPr>
          <w:szCs w:val="20"/>
          <w:lang w:val="en-GB"/>
        </w:rPr>
        <w:t>Align the EIB and EIF guarantee programmes</w:t>
      </w:r>
    </w:p>
    <w:p w:rsidR="00CE18C0" w:rsidRPr="00825DF0" w:rsidRDefault="00CE18C0" w:rsidP="00CE18C0">
      <w:pPr>
        <w:pStyle w:val="Puce1"/>
        <w:numPr>
          <w:ilvl w:val="0"/>
          <w:numId w:val="0"/>
        </w:numPr>
        <w:spacing w:line="276" w:lineRule="auto"/>
        <w:jc w:val="both"/>
        <w:rPr>
          <w:sz w:val="12"/>
          <w:szCs w:val="12"/>
          <w:lang w:val="en-GB"/>
        </w:rPr>
      </w:pPr>
    </w:p>
    <w:p w:rsidR="0009506A" w:rsidRPr="00825DF0" w:rsidRDefault="00CE18C0" w:rsidP="00D4365A">
      <w:pPr>
        <w:pStyle w:val="Puce1"/>
        <w:numPr>
          <w:ilvl w:val="0"/>
          <w:numId w:val="0"/>
        </w:numPr>
        <w:spacing w:line="276" w:lineRule="auto"/>
        <w:jc w:val="both"/>
        <w:rPr>
          <w:rFonts w:ascii="Arial" w:hAnsi="Arial" w:cs="Arial"/>
          <w:szCs w:val="20"/>
          <w:lang w:val="en-GB"/>
        </w:rPr>
      </w:pPr>
      <w:r w:rsidRPr="00825DF0">
        <w:rPr>
          <w:szCs w:val="20"/>
          <w:lang w:val="en-GB"/>
        </w:rPr>
        <w:t xml:space="preserve">The EIB and the EIF manage the InnovFin guarantee programmes for innovative businesses, for mid-caps (&gt;500 employees) and for SMEs and small mid-caps (&lt;500 employees) respectively. The EIB administration rules for pricing guarantees appear excessively complex and intrusive compared to those of the EIF. The pricing arrangements </w:t>
      </w:r>
      <w:r w:rsidRPr="00825DF0">
        <w:rPr>
          <w:rFonts w:ascii="Arial" w:hAnsi="Arial"/>
          <w:szCs w:val="20"/>
          <w:lang w:val="en-GB"/>
        </w:rPr>
        <w:t xml:space="preserve">involve sharing margin (cost of risk and remuneration of equity) with financial intermediaries. This model appears less advantageous than the flat rate remuneration model used by the EIF for InnovFin SMEG. It is therefore proposed that EIB practice should be aligned with that of the EIF. </w:t>
      </w:r>
    </w:p>
    <w:p w:rsidR="00445DC9" w:rsidRPr="00825DF0" w:rsidRDefault="00445DC9" w:rsidP="00D4365A">
      <w:pPr>
        <w:pStyle w:val="Puce1"/>
        <w:numPr>
          <w:ilvl w:val="0"/>
          <w:numId w:val="0"/>
        </w:numPr>
        <w:spacing w:line="276" w:lineRule="auto"/>
        <w:jc w:val="both"/>
        <w:rPr>
          <w:rFonts w:ascii="Arial" w:hAnsi="Arial" w:cs="Arial"/>
          <w:sz w:val="12"/>
          <w:szCs w:val="12"/>
          <w:lang w:val="en-GB"/>
        </w:rPr>
      </w:pPr>
    </w:p>
    <w:p w:rsidR="00D4365A" w:rsidRPr="00825DF0" w:rsidRDefault="00D4365A" w:rsidP="00D4365A">
      <w:pPr>
        <w:pStyle w:val="Puce1"/>
        <w:numPr>
          <w:ilvl w:val="0"/>
          <w:numId w:val="0"/>
        </w:numPr>
        <w:spacing w:line="276" w:lineRule="auto"/>
        <w:jc w:val="both"/>
        <w:rPr>
          <w:rFonts w:ascii="Arial" w:hAnsi="Arial" w:cs="Arial"/>
          <w:szCs w:val="20"/>
          <w:lang w:val="en-GB"/>
        </w:rPr>
      </w:pPr>
    </w:p>
    <w:p w:rsidR="0009506A" w:rsidRPr="00825DF0" w:rsidRDefault="0009506A" w:rsidP="0009506A">
      <w:pPr>
        <w:pStyle w:val="Puce1"/>
        <w:spacing w:line="276" w:lineRule="auto"/>
        <w:jc w:val="both"/>
        <w:rPr>
          <w:rFonts w:ascii="Arial" w:hAnsi="Arial" w:cs="Arial"/>
          <w:szCs w:val="20"/>
          <w:lang w:val="en-GB"/>
        </w:rPr>
      </w:pPr>
      <w:r w:rsidRPr="00825DF0">
        <w:rPr>
          <w:rFonts w:ascii="Arial" w:hAnsi="Arial" w:cs="Arial"/>
          <w:szCs w:val="20"/>
          <w:lang w:val="en-GB"/>
        </w:rPr>
        <w:t xml:space="preserve">Extend the types of expenses eligible for the InnovFin programme to include the </w:t>
      </w:r>
      <w:proofErr w:type="spellStart"/>
      <w:r w:rsidRPr="00825DF0">
        <w:rPr>
          <w:rFonts w:ascii="Arial" w:hAnsi="Arial" w:cs="Arial"/>
          <w:szCs w:val="20"/>
          <w:lang w:val="en-GB"/>
        </w:rPr>
        <w:t>buy out</w:t>
      </w:r>
      <w:proofErr w:type="spellEnd"/>
      <w:r w:rsidRPr="00825DF0">
        <w:rPr>
          <w:rFonts w:ascii="Arial" w:hAnsi="Arial" w:cs="Arial"/>
          <w:szCs w:val="20"/>
          <w:lang w:val="en-GB"/>
        </w:rPr>
        <w:t xml:space="preserve"> of private company shares </w:t>
      </w:r>
    </w:p>
    <w:p w:rsidR="003107C9" w:rsidRPr="00825DF0" w:rsidRDefault="003107C9" w:rsidP="003107C9">
      <w:pPr>
        <w:pStyle w:val="Puce1"/>
        <w:numPr>
          <w:ilvl w:val="0"/>
          <w:numId w:val="0"/>
        </w:numPr>
        <w:spacing w:line="276" w:lineRule="auto"/>
        <w:jc w:val="both"/>
        <w:rPr>
          <w:rFonts w:ascii="Arial" w:hAnsi="Arial" w:cs="Arial"/>
          <w:sz w:val="12"/>
          <w:szCs w:val="12"/>
          <w:lang w:val="en-GB"/>
        </w:rPr>
      </w:pPr>
    </w:p>
    <w:p w:rsidR="00B410F6" w:rsidRPr="00825DF0" w:rsidRDefault="003107C9" w:rsidP="00D26230">
      <w:pPr>
        <w:pStyle w:val="Puce1"/>
        <w:numPr>
          <w:ilvl w:val="0"/>
          <w:numId w:val="0"/>
        </w:numPr>
        <w:spacing w:line="276" w:lineRule="auto"/>
        <w:jc w:val="both"/>
        <w:rPr>
          <w:rFonts w:ascii="Arial" w:hAnsi="Arial" w:cs="Arial"/>
          <w:bCs/>
          <w:szCs w:val="20"/>
          <w:lang w:val="en-GB"/>
        </w:rPr>
      </w:pPr>
      <w:r w:rsidRPr="00825DF0">
        <w:rPr>
          <w:rFonts w:ascii="Arial" w:hAnsi="Arial" w:cs="Arial"/>
          <w:szCs w:val="20"/>
          <w:lang w:val="en-GB"/>
        </w:rPr>
        <w:t xml:space="preserve">The InnovFin MCG programme (mid-caps &gt; 500 employees) should accept the purchase of private company shares as an eligible expense, as is the case for the InnovFin SMEG programme for SMEs. Buying out an innovative company certainly entails risks that might act as an obstacle to financing arrangements for passing on the company. A European guarantee would mitigate the risks and encourage banks to lend to acquirers of new businesses. Such a modification to the InnovFin programme could be put in place quickly, since it could be achieved by amending the programme’s terms and conditions. </w:t>
      </w:r>
    </w:p>
    <w:p w:rsidR="00D26230" w:rsidRPr="00825DF0" w:rsidRDefault="00D26230" w:rsidP="00D26230">
      <w:pPr>
        <w:pStyle w:val="Puce1"/>
        <w:numPr>
          <w:ilvl w:val="0"/>
          <w:numId w:val="0"/>
        </w:numPr>
        <w:spacing w:line="276" w:lineRule="auto"/>
        <w:jc w:val="both"/>
        <w:rPr>
          <w:rFonts w:ascii="Arial" w:hAnsi="Arial" w:cs="Arial"/>
          <w:szCs w:val="20"/>
          <w:lang w:val="en-GB"/>
        </w:rPr>
      </w:pPr>
    </w:p>
    <w:p w:rsidR="00D26230" w:rsidRPr="00825DF0" w:rsidRDefault="00D26230" w:rsidP="00B410F6">
      <w:pPr>
        <w:pStyle w:val="Puce1"/>
        <w:spacing w:line="276" w:lineRule="auto"/>
        <w:jc w:val="both"/>
        <w:rPr>
          <w:rFonts w:ascii="Arial" w:hAnsi="Arial" w:cs="Arial"/>
          <w:szCs w:val="20"/>
          <w:lang w:val="en-GB"/>
        </w:rPr>
      </w:pPr>
      <w:r w:rsidRPr="00825DF0">
        <w:rPr>
          <w:rFonts w:ascii="Arial" w:hAnsi="Arial" w:cs="Arial"/>
          <w:szCs w:val="20"/>
          <w:lang w:val="en-GB"/>
        </w:rPr>
        <w:t>Raising the threshold of the COSME programme to €500,000</w:t>
      </w:r>
    </w:p>
    <w:p w:rsidR="00AE2B69" w:rsidRPr="00825DF0" w:rsidRDefault="00AE2B69" w:rsidP="00D26230">
      <w:pPr>
        <w:pStyle w:val="Puce1"/>
        <w:numPr>
          <w:ilvl w:val="0"/>
          <w:numId w:val="0"/>
        </w:numPr>
        <w:spacing w:line="276" w:lineRule="auto"/>
        <w:jc w:val="both"/>
        <w:rPr>
          <w:rFonts w:ascii="Arial" w:hAnsi="Arial" w:cs="Arial"/>
          <w:bCs/>
          <w:sz w:val="12"/>
          <w:szCs w:val="12"/>
          <w:lang w:val="en-GB"/>
        </w:rPr>
      </w:pPr>
    </w:p>
    <w:p w:rsidR="00D4365A" w:rsidRPr="00825DF0" w:rsidRDefault="00D26230" w:rsidP="00D26230">
      <w:pPr>
        <w:pStyle w:val="Puce1"/>
        <w:numPr>
          <w:ilvl w:val="0"/>
          <w:numId w:val="0"/>
        </w:numPr>
        <w:spacing w:line="276" w:lineRule="auto"/>
        <w:jc w:val="both"/>
        <w:rPr>
          <w:rFonts w:ascii="Arial" w:hAnsi="Arial" w:cs="Arial"/>
          <w:bCs/>
          <w:szCs w:val="20"/>
          <w:lang w:val="en-GB"/>
        </w:rPr>
      </w:pPr>
      <w:r w:rsidRPr="00825DF0">
        <w:rPr>
          <w:rFonts w:ascii="Arial" w:hAnsi="Arial" w:cs="Arial"/>
          <w:szCs w:val="20"/>
          <w:lang w:val="en-GB"/>
        </w:rPr>
        <w:t xml:space="preserve">To extend the scope of the COSME guarantee programme to non-innovative SMEs and to speed up its delivery on the ground, its financing guarantee threshold which is currently restricted to €150,000 per loan per SME could be raised to €500,000. A modification such as this would however require a revision of the legal basis of the programme and therefore an agreement decided upon jointly by the European Parliament and the Council of the EU. </w:t>
      </w:r>
    </w:p>
    <w:p w:rsidR="000F37BC" w:rsidRPr="00825DF0" w:rsidRDefault="000F37BC" w:rsidP="007F2EAB">
      <w:pPr>
        <w:spacing w:after="200" w:line="276" w:lineRule="auto"/>
        <w:jc w:val="both"/>
        <w:rPr>
          <w:rFonts w:ascii="Arial" w:hAnsi="Arial" w:cs="Arial"/>
          <w:sz w:val="16"/>
          <w:szCs w:val="16"/>
          <w:lang w:val="en-GB"/>
        </w:rPr>
      </w:pPr>
    </w:p>
    <w:p w:rsidR="00B410F6" w:rsidRPr="00825DF0" w:rsidRDefault="000F37BC" w:rsidP="00B410F6">
      <w:pPr>
        <w:pStyle w:val="Titre2"/>
        <w:rPr>
          <w:rFonts w:ascii="Arial" w:hAnsi="Arial" w:cs="Arial"/>
          <w:b/>
          <w:u w:val="single"/>
          <w:lang w:val="en-GB"/>
        </w:rPr>
      </w:pPr>
      <w:r w:rsidRPr="00825DF0">
        <w:rPr>
          <w:rFonts w:ascii="Arial" w:hAnsi="Arial" w:cs="Arial"/>
          <w:b/>
          <w:u w:val="single"/>
          <w:lang w:val="en-GB"/>
        </w:rPr>
        <w:t xml:space="preserve">Future programmes </w:t>
      </w:r>
    </w:p>
    <w:p w:rsidR="007C5C67" w:rsidRPr="00825DF0" w:rsidRDefault="007C5C67" w:rsidP="008F324D">
      <w:pPr>
        <w:spacing w:line="276" w:lineRule="auto"/>
        <w:contextualSpacing/>
        <w:rPr>
          <w:rFonts w:ascii="Arial" w:hAnsi="Arial" w:cs="Arial"/>
          <w:sz w:val="12"/>
          <w:szCs w:val="12"/>
          <w:lang w:val="en-GB"/>
        </w:rPr>
      </w:pPr>
    </w:p>
    <w:p w:rsidR="007C5C67" w:rsidRPr="00825DF0" w:rsidRDefault="007C5C67" w:rsidP="008F324D">
      <w:pPr>
        <w:pStyle w:val="Puce1"/>
        <w:spacing w:line="276" w:lineRule="auto"/>
        <w:contextualSpacing/>
        <w:jc w:val="both"/>
        <w:rPr>
          <w:rFonts w:ascii="Arial" w:hAnsi="Arial" w:cs="Arial"/>
          <w:szCs w:val="20"/>
          <w:lang w:val="en-GB"/>
        </w:rPr>
      </w:pPr>
      <w:r w:rsidRPr="00825DF0">
        <w:rPr>
          <w:rFonts w:ascii="Arial" w:hAnsi="Arial" w:cs="Arial"/>
          <w:szCs w:val="20"/>
          <w:lang w:val="en-GB"/>
        </w:rPr>
        <w:t xml:space="preserve">Additionality principles </w:t>
      </w:r>
    </w:p>
    <w:p w:rsidR="008F324D" w:rsidRPr="00825DF0" w:rsidRDefault="008F324D" w:rsidP="008F324D">
      <w:pPr>
        <w:pStyle w:val="Puce1"/>
        <w:numPr>
          <w:ilvl w:val="0"/>
          <w:numId w:val="0"/>
        </w:numPr>
        <w:spacing w:line="276" w:lineRule="auto"/>
        <w:ind w:left="340"/>
        <w:contextualSpacing/>
        <w:jc w:val="both"/>
        <w:rPr>
          <w:rFonts w:ascii="Arial" w:hAnsi="Arial" w:cs="Arial"/>
          <w:sz w:val="12"/>
          <w:szCs w:val="12"/>
          <w:lang w:val="en-GB"/>
        </w:rPr>
      </w:pPr>
    </w:p>
    <w:p w:rsidR="003473B4" w:rsidRPr="00825DF0" w:rsidRDefault="00445DC9" w:rsidP="008F324D">
      <w:pPr>
        <w:spacing w:line="276" w:lineRule="auto"/>
        <w:contextualSpacing/>
        <w:rPr>
          <w:rFonts w:ascii="Arial" w:hAnsi="Arial" w:cs="Arial"/>
          <w:bCs/>
          <w:szCs w:val="20"/>
          <w:lang w:val="en-GB"/>
        </w:rPr>
      </w:pPr>
      <w:r w:rsidRPr="00825DF0">
        <w:rPr>
          <w:rFonts w:ascii="Arial" w:hAnsi="Arial" w:cs="Arial"/>
          <w:szCs w:val="20"/>
          <w:lang w:val="en-GB"/>
        </w:rPr>
        <w:t xml:space="preserve">The SME/mid-cap window of future IPE programmes should meet the following additionality principles: </w:t>
      </w:r>
    </w:p>
    <w:p w:rsidR="00445DC9" w:rsidRPr="00825DF0" w:rsidRDefault="00445DC9" w:rsidP="007F2EAB">
      <w:pPr>
        <w:pStyle w:val="Titre2"/>
        <w:numPr>
          <w:ilvl w:val="0"/>
          <w:numId w:val="7"/>
        </w:numPr>
        <w:spacing w:after="0" w:line="276" w:lineRule="auto"/>
        <w:contextualSpacing/>
        <w:rPr>
          <w:rFonts w:ascii="Arial" w:eastAsiaTheme="minorHAnsi" w:hAnsi="Arial" w:cs="Arial"/>
          <w:sz w:val="20"/>
          <w:szCs w:val="20"/>
          <w:lang w:val="en-GB"/>
        </w:rPr>
      </w:pPr>
      <w:r w:rsidRPr="00825DF0">
        <w:rPr>
          <w:rFonts w:ascii="Arial" w:eastAsiaTheme="minorHAnsi" w:hAnsi="Arial" w:cs="Arial"/>
          <w:bCs w:val="0"/>
          <w:sz w:val="20"/>
          <w:szCs w:val="20"/>
          <w:lang w:val="en-GB"/>
        </w:rPr>
        <w:t>Have a higher risk profile than existing instruments or include new eligibility criteria or expand the scope of existing instruments;</w:t>
      </w:r>
    </w:p>
    <w:p w:rsidR="003473B4" w:rsidRPr="00825DF0" w:rsidRDefault="00445DC9" w:rsidP="007F2EAB">
      <w:pPr>
        <w:pStyle w:val="Titre2"/>
        <w:numPr>
          <w:ilvl w:val="0"/>
          <w:numId w:val="7"/>
        </w:numPr>
        <w:spacing w:after="0" w:line="276" w:lineRule="auto"/>
        <w:contextualSpacing/>
        <w:rPr>
          <w:rFonts w:ascii="Arial" w:eastAsiaTheme="minorHAnsi" w:hAnsi="Arial" w:cs="Arial"/>
          <w:sz w:val="20"/>
          <w:szCs w:val="20"/>
          <w:lang w:val="en-GB"/>
        </w:rPr>
      </w:pPr>
      <w:r w:rsidRPr="00825DF0">
        <w:rPr>
          <w:rFonts w:ascii="Arial" w:eastAsiaTheme="minorHAnsi" w:hAnsi="Arial" w:cs="Arial"/>
          <w:bCs w:val="0"/>
          <w:sz w:val="20"/>
          <w:szCs w:val="20"/>
          <w:lang w:val="en-GB"/>
        </w:rPr>
        <w:t xml:space="preserve">Act as an incentive for the recipient businesses, for example subsidised interest rates. </w:t>
      </w:r>
    </w:p>
    <w:p w:rsidR="007C5C67" w:rsidRPr="00825DF0" w:rsidRDefault="007C5C67" w:rsidP="008F324D">
      <w:pPr>
        <w:spacing w:line="276" w:lineRule="auto"/>
        <w:contextualSpacing/>
        <w:rPr>
          <w:rFonts w:ascii="Arial" w:hAnsi="Arial" w:cs="Arial"/>
          <w:szCs w:val="20"/>
          <w:lang w:val="en-GB"/>
        </w:rPr>
      </w:pPr>
    </w:p>
    <w:p w:rsidR="007C5C67" w:rsidRPr="00825DF0" w:rsidRDefault="00651DBC" w:rsidP="008F324D">
      <w:pPr>
        <w:pStyle w:val="Puce1"/>
        <w:spacing w:line="276" w:lineRule="auto"/>
        <w:contextualSpacing/>
        <w:jc w:val="both"/>
        <w:rPr>
          <w:rFonts w:ascii="Arial" w:hAnsi="Arial" w:cs="Arial"/>
          <w:bCs/>
          <w:szCs w:val="20"/>
          <w:lang w:val="en-GB"/>
        </w:rPr>
      </w:pPr>
      <w:r w:rsidRPr="00825DF0">
        <w:rPr>
          <w:rFonts w:ascii="Arial" w:hAnsi="Arial" w:cs="Arial"/>
          <w:szCs w:val="20"/>
          <w:lang w:val="en-GB"/>
        </w:rPr>
        <w:t>Introduce an ambitious InnovFin programme guaranteeing unsecured loans</w:t>
      </w:r>
    </w:p>
    <w:p w:rsidR="008E160F" w:rsidRPr="00825DF0" w:rsidRDefault="008E160F" w:rsidP="008F324D">
      <w:pPr>
        <w:pStyle w:val="Puce1"/>
        <w:numPr>
          <w:ilvl w:val="0"/>
          <w:numId w:val="0"/>
        </w:numPr>
        <w:spacing w:line="276" w:lineRule="auto"/>
        <w:ind w:left="340" w:hanging="340"/>
        <w:contextualSpacing/>
        <w:jc w:val="both"/>
        <w:rPr>
          <w:rFonts w:ascii="Arial" w:hAnsi="Arial" w:cs="Arial"/>
          <w:color w:val="7F7F7F" w:themeColor="text1" w:themeTint="80"/>
          <w:sz w:val="12"/>
          <w:szCs w:val="12"/>
          <w:lang w:val="en-GB"/>
        </w:rPr>
      </w:pPr>
    </w:p>
    <w:p w:rsidR="000162F2" w:rsidRPr="00825DF0" w:rsidRDefault="00CD3C73">
      <w:pPr>
        <w:pStyle w:val="Puce1"/>
        <w:numPr>
          <w:ilvl w:val="0"/>
          <w:numId w:val="0"/>
        </w:numPr>
        <w:spacing w:line="276" w:lineRule="auto"/>
        <w:contextualSpacing/>
        <w:jc w:val="both"/>
        <w:rPr>
          <w:rFonts w:ascii="Arial" w:hAnsi="Arial" w:cs="Arial"/>
          <w:bCs/>
          <w:szCs w:val="20"/>
          <w:lang w:val="en-GB"/>
        </w:rPr>
      </w:pPr>
      <w:r w:rsidRPr="00825DF0">
        <w:rPr>
          <w:rFonts w:ascii="Arial" w:hAnsi="Arial" w:cs="Arial"/>
          <w:szCs w:val="20"/>
          <w:lang w:val="en-GB"/>
        </w:rPr>
        <w:t xml:space="preserve">As announced by the European Commission and the EIB group, a new InnovFin guarantee programme for unsecured loans should make its appearance by the end of 2016/start of 2017. </w:t>
      </w:r>
    </w:p>
    <w:p w:rsidR="008E160F" w:rsidRPr="00825DF0" w:rsidRDefault="000162F2">
      <w:pPr>
        <w:pStyle w:val="Puce1"/>
        <w:numPr>
          <w:ilvl w:val="0"/>
          <w:numId w:val="0"/>
        </w:numPr>
        <w:spacing w:line="276" w:lineRule="auto"/>
        <w:contextualSpacing/>
        <w:jc w:val="both"/>
        <w:rPr>
          <w:rFonts w:ascii="Arial" w:hAnsi="Arial" w:cs="Arial"/>
          <w:szCs w:val="20"/>
          <w:lang w:val="en-GB"/>
        </w:rPr>
      </w:pPr>
      <w:r w:rsidRPr="00825DF0">
        <w:rPr>
          <w:rFonts w:ascii="Arial" w:hAnsi="Arial" w:cs="Arial"/>
          <w:szCs w:val="20"/>
          <w:lang w:val="en-GB"/>
        </w:rPr>
        <w:t>This long-awaited programme will help fill a major gap in the market. Businesses often face difficulties in accessing credit to finance their intangible assets and their working capital requirement. An ambitious budget should therefore be proposed for this programme, of a volume equivalent to that of the InnovFin SMEG, which is to say €1 billion in guarantees.</w:t>
      </w:r>
    </w:p>
    <w:p w:rsidR="007C5C67" w:rsidRPr="00825DF0" w:rsidRDefault="007C5C67" w:rsidP="009A160D">
      <w:pPr>
        <w:pStyle w:val="Puce1"/>
        <w:numPr>
          <w:ilvl w:val="0"/>
          <w:numId w:val="0"/>
        </w:numPr>
        <w:spacing w:line="276" w:lineRule="auto"/>
        <w:ind w:left="340"/>
        <w:contextualSpacing/>
        <w:jc w:val="both"/>
        <w:rPr>
          <w:rFonts w:ascii="Arial" w:hAnsi="Arial" w:cs="Arial"/>
          <w:szCs w:val="20"/>
          <w:lang w:val="en-GB"/>
        </w:rPr>
      </w:pPr>
    </w:p>
    <w:p w:rsidR="000162F2" w:rsidRPr="00825DF0" w:rsidRDefault="000162F2">
      <w:pPr>
        <w:pStyle w:val="Puce1"/>
        <w:spacing w:line="276" w:lineRule="auto"/>
        <w:contextualSpacing/>
        <w:jc w:val="both"/>
        <w:rPr>
          <w:rFonts w:ascii="Arial" w:hAnsi="Arial" w:cs="Arial"/>
          <w:szCs w:val="20"/>
          <w:lang w:val="en-GB"/>
        </w:rPr>
      </w:pPr>
      <w:r w:rsidRPr="00825DF0">
        <w:rPr>
          <w:rFonts w:ascii="Arial" w:hAnsi="Arial" w:cs="Arial"/>
          <w:szCs w:val="20"/>
          <w:lang w:val="en-GB"/>
        </w:rPr>
        <w:t>Give backing to more investment platforms</w:t>
      </w:r>
    </w:p>
    <w:p w:rsidR="000162F2" w:rsidRPr="00825DF0" w:rsidRDefault="000162F2">
      <w:pPr>
        <w:pStyle w:val="Puce1"/>
        <w:numPr>
          <w:ilvl w:val="0"/>
          <w:numId w:val="0"/>
        </w:numPr>
        <w:spacing w:line="276" w:lineRule="auto"/>
        <w:contextualSpacing/>
        <w:jc w:val="both"/>
        <w:rPr>
          <w:rFonts w:ascii="Arial" w:hAnsi="Arial" w:cs="Arial"/>
          <w:sz w:val="12"/>
          <w:szCs w:val="12"/>
          <w:lang w:val="en-GB"/>
        </w:rPr>
      </w:pPr>
    </w:p>
    <w:p w:rsidR="003473B4" w:rsidRPr="00825DF0" w:rsidRDefault="00C13EB2">
      <w:pPr>
        <w:pStyle w:val="Puce1"/>
        <w:numPr>
          <w:ilvl w:val="0"/>
          <w:numId w:val="0"/>
        </w:numPr>
        <w:spacing w:line="276" w:lineRule="auto"/>
        <w:contextualSpacing/>
        <w:jc w:val="both"/>
        <w:rPr>
          <w:rFonts w:ascii="Arial" w:hAnsi="Arial" w:cs="Arial"/>
          <w:szCs w:val="20"/>
          <w:lang w:val="en-GB"/>
        </w:rPr>
      </w:pPr>
      <w:r w:rsidRPr="00825DF0">
        <w:rPr>
          <w:rFonts w:ascii="Arial" w:hAnsi="Arial" w:cs="Arial"/>
          <w:szCs w:val="20"/>
          <w:lang w:val="en-GB"/>
        </w:rPr>
        <w:t xml:space="preserve">Investment platforms make it possible to pool the resources of a number of investors, public and private, and therefore produce the greatest leverage effect. They also have the further advantage of encouraging sector or specific theme initiatives. </w:t>
      </w:r>
    </w:p>
    <w:p w:rsidR="00745C53" w:rsidRPr="00825DF0" w:rsidRDefault="00745C53">
      <w:pPr>
        <w:pStyle w:val="Puce1"/>
        <w:numPr>
          <w:ilvl w:val="0"/>
          <w:numId w:val="0"/>
        </w:numPr>
        <w:spacing w:line="276" w:lineRule="auto"/>
        <w:contextualSpacing/>
        <w:jc w:val="both"/>
        <w:rPr>
          <w:rFonts w:ascii="Arial" w:hAnsi="Arial" w:cs="Arial"/>
          <w:szCs w:val="20"/>
          <w:lang w:val="en-GB"/>
        </w:rPr>
      </w:pPr>
    </w:p>
    <w:p w:rsidR="00745C53" w:rsidRPr="00825DF0" w:rsidRDefault="00745C53">
      <w:pPr>
        <w:pStyle w:val="Puce1"/>
        <w:spacing w:line="276" w:lineRule="auto"/>
        <w:contextualSpacing/>
        <w:jc w:val="both"/>
        <w:rPr>
          <w:rFonts w:ascii="Arial" w:hAnsi="Arial" w:cs="Arial"/>
          <w:szCs w:val="20"/>
          <w:lang w:val="en-GB"/>
        </w:rPr>
      </w:pPr>
      <w:r w:rsidRPr="00825DF0">
        <w:rPr>
          <w:rFonts w:ascii="Arial" w:hAnsi="Arial" w:cs="Arial"/>
          <w:szCs w:val="20"/>
          <w:lang w:val="en-GB"/>
        </w:rPr>
        <w:t>Support small technology stocks</w:t>
      </w:r>
    </w:p>
    <w:p w:rsidR="009A160D" w:rsidRPr="00825DF0" w:rsidRDefault="009A160D" w:rsidP="009A160D">
      <w:pPr>
        <w:pStyle w:val="Puce1"/>
        <w:numPr>
          <w:ilvl w:val="0"/>
          <w:numId w:val="0"/>
        </w:numPr>
        <w:spacing w:line="276" w:lineRule="auto"/>
        <w:ind w:left="340"/>
        <w:contextualSpacing/>
        <w:jc w:val="both"/>
        <w:rPr>
          <w:rFonts w:ascii="Arial" w:hAnsi="Arial" w:cs="Arial"/>
          <w:szCs w:val="20"/>
          <w:lang w:val="en-GB"/>
        </w:rPr>
      </w:pPr>
    </w:p>
    <w:p w:rsidR="00DC095C" w:rsidRPr="00825DF0" w:rsidRDefault="00DC095C" w:rsidP="009A160D">
      <w:pPr>
        <w:pStyle w:val="Puce1"/>
        <w:numPr>
          <w:ilvl w:val="0"/>
          <w:numId w:val="0"/>
        </w:numPr>
        <w:spacing w:line="276" w:lineRule="auto"/>
        <w:contextualSpacing/>
        <w:jc w:val="both"/>
        <w:rPr>
          <w:rFonts w:ascii="Arial" w:hAnsi="Arial" w:cs="Arial"/>
          <w:szCs w:val="20"/>
          <w:lang w:val="en-GB"/>
        </w:rPr>
      </w:pPr>
      <w:r w:rsidRPr="00825DF0">
        <w:rPr>
          <w:rFonts w:ascii="Arial" w:hAnsi="Arial" w:cs="Arial"/>
          <w:szCs w:val="20"/>
          <w:lang w:val="en-GB"/>
        </w:rPr>
        <w:t>The market for small cap stocks, particularly technology stocks, is not very lively since these stocks are subject to often erratic fluctuations, to the detriment of the SMEs present on that market. A more vibrant market would have the added benefit of providing technology companies with a number of alternatives instead of just being bought out by major corporations, often American.</w:t>
      </w:r>
    </w:p>
    <w:p w:rsidR="00DC095C" w:rsidRPr="00825DF0" w:rsidRDefault="00DC095C">
      <w:pPr>
        <w:pStyle w:val="Puce1"/>
        <w:numPr>
          <w:ilvl w:val="0"/>
          <w:numId w:val="0"/>
        </w:numPr>
        <w:spacing w:line="276" w:lineRule="auto"/>
        <w:contextualSpacing/>
        <w:jc w:val="both"/>
        <w:rPr>
          <w:rFonts w:ascii="Arial" w:hAnsi="Arial" w:cs="Arial"/>
          <w:szCs w:val="20"/>
          <w:lang w:val="en-GB"/>
        </w:rPr>
      </w:pPr>
      <w:r w:rsidRPr="00825DF0">
        <w:rPr>
          <w:rFonts w:ascii="Arial" w:hAnsi="Arial" w:cs="Arial"/>
          <w:szCs w:val="20"/>
          <w:lang w:val="en-GB"/>
        </w:rPr>
        <w:t>Direct involvement by the EIB group and the NPIs in this area would be clearly contra-cyclical and likely to provide springboards for the development of European technology companies.</w:t>
      </w:r>
    </w:p>
    <w:p w:rsidR="000F37BC" w:rsidRPr="00825DF0" w:rsidRDefault="000F37BC" w:rsidP="009A160D">
      <w:pPr>
        <w:pStyle w:val="Titre2"/>
        <w:numPr>
          <w:ilvl w:val="0"/>
          <w:numId w:val="0"/>
        </w:numPr>
        <w:jc w:val="both"/>
        <w:rPr>
          <w:rFonts w:ascii="Arial" w:hAnsi="Arial" w:cs="Arial"/>
          <w:b/>
          <w:u w:val="single"/>
          <w:lang w:val="en-GB"/>
        </w:rPr>
      </w:pPr>
    </w:p>
    <w:p w:rsidR="00DC095C" w:rsidRPr="00825DF0" w:rsidRDefault="00AD4927">
      <w:pPr>
        <w:pStyle w:val="Puce1"/>
        <w:spacing w:line="276" w:lineRule="auto"/>
        <w:contextualSpacing/>
        <w:jc w:val="both"/>
        <w:rPr>
          <w:rFonts w:ascii="Arial" w:hAnsi="Arial" w:cs="Arial"/>
          <w:szCs w:val="20"/>
          <w:lang w:val="en-GB"/>
        </w:rPr>
      </w:pPr>
      <w:r w:rsidRPr="00825DF0">
        <w:rPr>
          <w:rFonts w:ascii="Arial" w:hAnsi="Arial" w:cs="Arial"/>
          <w:szCs w:val="20"/>
          <w:lang w:val="en-GB"/>
        </w:rPr>
        <w:t>Replicate the IPE in Africa and in developing countries</w:t>
      </w:r>
    </w:p>
    <w:p w:rsidR="00DC095C" w:rsidRPr="00825DF0" w:rsidRDefault="00DC095C" w:rsidP="009A160D">
      <w:pPr>
        <w:jc w:val="both"/>
        <w:rPr>
          <w:lang w:val="en-GB"/>
        </w:rPr>
      </w:pPr>
    </w:p>
    <w:p w:rsidR="00DC095C" w:rsidRPr="00825DF0" w:rsidRDefault="00AD4927" w:rsidP="009A160D">
      <w:pPr>
        <w:jc w:val="both"/>
        <w:rPr>
          <w:lang w:val="en-GB"/>
        </w:rPr>
      </w:pPr>
      <w:r w:rsidRPr="00825DF0">
        <w:rPr>
          <w:lang w:val="en-GB"/>
        </w:rPr>
        <w:t xml:space="preserve">The financial mechanisms of the Investment Plan for Europe, including InnovFin, </w:t>
      </w:r>
      <w:r w:rsidR="00825DF0" w:rsidRPr="00825DF0">
        <w:rPr>
          <w:lang w:val="en-GB"/>
        </w:rPr>
        <w:t>COSME</w:t>
      </w:r>
      <w:r w:rsidRPr="00825DF0">
        <w:rPr>
          <w:lang w:val="en-GB"/>
        </w:rPr>
        <w:t>, investment platforms and equity funding, have proved they are able to raise private finance, particularly in SMEs, boosting investment. Setting up comparable mechanisms in Africa and developing countries, targeting gaps in local markets and coupled with a strengthening of the capacities of public and private sector players, would maximise the impact of public money allocated to development aid, increase investment in the local economy and help mitigate transitory capital flows.</w:t>
      </w:r>
    </w:p>
    <w:p w:rsidR="00F92386" w:rsidRPr="00825DF0" w:rsidRDefault="00ED75FC" w:rsidP="009A160D">
      <w:pPr>
        <w:jc w:val="both"/>
        <w:rPr>
          <w:lang w:val="en-GB"/>
        </w:rPr>
      </w:pPr>
      <w:r w:rsidRPr="00825DF0">
        <w:rPr>
          <w:lang w:val="en-GB"/>
        </w:rPr>
        <w:t>The European NPIs operating in these markets, such as Bpifrance, the German bank K</w:t>
      </w:r>
      <w:r w:rsidR="00825DF0">
        <w:rPr>
          <w:lang w:val="en-GB"/>
        </w:rPr>
        <w:t>f</w:t>
      </w:r>
      <w:r w:rsidRPr="00825DF0">
        <w:rPr>
          <w:lang w:val="en-GB"/>
        </w:rPr>
        <w:t xml:space="preserve">W and the Italian bank </w:t>
      </w:r>
      <w:proofErr w:type="spellStart"/>
      <w:r w:rsidRPr="00825DF0">
        <w:rPr>
          <w:lang w:val="en-GB"/>
        </w:rPr>
        <w:t>Cassa</w:t>
      </w:r>
      <w:proofErr w:type="spellEnd"/>
      <w:r w:rsidRPr="00825DF0">
        <w:rPr>
          <w:lang w:val="en-GB"/>
        </w:rPr>
        <w:t xml:space="preserve"> </w:t>
      </w:r>
      <w:proofErr w:type="spellStart"/>
      <w:r w:rsidRPr="00825DF0">
        <w:rPr>
          <w:lang w:val="en-GB"/>
        </w:rPr>
        <w:t>Depositi</w:t>
      </w:r>
      <w:proofErr w:type="spellEnd"/>
      <w:r w:rsidRPr="00825DF0">
        <w:rPr>
          <w:lang w:val="en-GB"/>
        </w:rPr>
        <w:t xml:space="preserve">, and the national export support agencies could play a role in this by structuring financing and/or investment vehicles, and could even provide technical support for local financial organisations. </w:t>
      </w:r>
    </w:p>
    <w:p w:rsidR="00DC095C" w:rsidRPr="00825DF0" w:rsidRDefault="00DC095C" w:rsidP="009A160D">
      <w:pPr>
        <w:rPr>
          <w:lang w:val="en-GB"/>
        </w:rPr>
      </w:pPr>
    </w:p>
    <w:p w:rsidR="00651DBC" w:rsidRPr="00825DF0" w:rsidRDefault="00C90BDF" w:rsidP="00F57474">
      <w:pPr>
        <w:pStyle w:val="Titre2"/>
        <w:rPr>
          <w:rFonts w:ascii="Arial" w:hAnsi="Arial" w:cs="Arial"/>
          <w:b/>
          <w:u w:val="single"/>
          <w:lang w:val="en-GB"/>
        </w:rPr>
      </w:pPr>
      <w:r w:rsidRPr="00825DF0">
        <w:rPr>
          <w:rFonts w:ascii="Arial" w:hAnsi="Arial" w:cs="Arial"/>
          <w:b/>
          <w:u w:val="single"/>
          <w:lang w:val="en-GB"/>
        </w:rPr>
        <w:t>Support for businesses</w:t>
      </w:r>
    </w:p>
    <w:p w:rsidR="00370007" w:rsidRPr="00825DF0" w:rsidRDefault="00370007" w:rsidP="008F324D">
      <w:pPr>
        <w:spacing w:line="276" w:lineRule="auto"/>
        <w:contextualSpacing/>
        <w:jc w:val="both"/>
        <w:rPr>
          <w:rFonts w:ascii="Arial" w:hAnsi="Arial" w:cs="Arial"/>
          <w:sz w:val="12"/>
          <w:szCs w:val="12"/>
          <w:lang w:val="en-GB"/>
        </w:rPr>
      </w:pPr>
    </w:p>
    <w:p w:rsidR="008F324D" w:rsidRPr="00825DF0" w:rsidRDefault="00370007" w:rsidP="00F57474">
      <w:pPr>
        <w:spacing w:line="276" w:lineRule="auto"/>
        <w:contextualSpacing/>
        <w:jc w:val="both"/>
        <w:rPr>
          <w:rFonts w:ascii="Arial" w:hAnsi="Arial" w:cs="Arial"/>
          <w:szCs w:val="20"/>
          <w:lang w:val="en-GB"/>
        </w:rPr>
      </w:pPr>
      <w:r w:rsidRPr="00825DF0">
        <w:rPr>
          <w:rFonts w:ascii="Arial" w:hAnsi="Arial" w:cs="Arial"/>
          <w:szCs w:val="20"/>
          <w:lang w:val="en-GB"/>
        </w:rPr>
        <w:t xml:space="preserve">It is essential that Europe take a more active approach to improving the competitiveness of SMEs. Through the IPE’s European Investment Advisory Hub (EIAH), the EU could set up a financing mechanism to help businesses access advisory services in four fields essential to their growth: strategy; internationalisation; operational efficiency; and the repositioning of their goods and services.  </w:t>
      </w:r>
    </w:p>
    <w:p w:rsidR="00F57474" w:rsidRPr="00825DF0" w:rsidRDefault="00F57474" w:rsidP="00F57474">
      <w:pPr>
        <w:spacing w:line="276" w:lineRule="auto"/>
        <w:contextualSpacing/>
        <w:jc w:val="both"/>
        <w:rPr>
          <w:rFonts w:ascii="Arial" w:hAnsi="Arial" w:cs="Arial"/>
          <w:sz w:val="12"/>
          <w:szCs w:val="12"/>
          <w:lang w:val="en-GB"/>
        </w:rPr>
      </w:pPr>
    </w:p>
    <w:p w:rsidR="008F324D" w:rsidRPr="00825DF0" w:rsidRDefault="00370007" w:rsidP="00F57474">
      <w:pPr>
        <w:spacing w:line="276" w:lineRule="auto"/>
        <w:contextualSpacing/>
        <w:jc w:val="both"/>
        <w:rPr>
          <w:rFonts w:ascii="Arial" w:hAnsi="Arial" w:cs="Arial"/>
          <w:szCs w:val="20"/>
          <w:lang w:val="en-GB"/>
        </w:rPr>
      </w:pPr>
      <w:r w:rsidRPr="00825DF0">
        <w:rPr>
          <w:rFonts w:ascii="Arial" w:hAnsi="Arial" w:cs="Arial"/>
          <w:szCs w:val="20"/>
          <w:lang w:val="en-GB"/>
        </w:rPr>
        <w:t>Such a programme could draw inspiration from ‘voucher’ mechanisms for ease of access and fast delivery, via the NPIs.  The maximum amount might be €50 thousand per SME, as an interest-free loan or as a grant for the smallest businesses.</w:t>
      </w:r>
    </w:p>
    <w:p w:rsidR="00F57474" w:rsidRPr="00825DF0" w:rsidRDefault="00F57474" w:rsidP="00F57474">
      <w:pPr>
        <w:spacing w:line="276" w:lineRule="auto"/>
        <w:contextualSpacing/>
        <w:jc w:val="both"/>
        <w:rPr>
          <w:rFonts w:ascii="Arial" w:hAnsi="Arial" w:cs="Arial"/>
          <w:sz w:val="12"/>
          <w:szCs w:val="12"/>
          <w:lang w:val="en-GB"/>
        </w:rPr>
      </w:pPr>
    </w:p>
    <w:p w:rsidR="003473B4" w:rsidRPr="00825DF0" w:rsidRDefault="008F324D" w:rsidP="00F57474">
      <w:pPr>
        <w:spacing w:line="276" w:lineRule="auto"/>
        <w:contextualSpacing/>
        <w:jc w:val="both"/>
        <w:rPr>
          <w:rFonts w:ascii="Arial" w:hAnsi="Arial" w:cs="Arial"/>
          <w:szCs w:val="20"/>
          <w:lang w:val="en-GB"/>
        </w:rPr>
      </w:pPr>
      <w:r w:rsidRPr="00825DF0">
        <w:rPr>
          <w:rFonts w:ascii="Arial" w:hAnsi="Arial" w:cs="Arial"/>
          <w:szCs w:val="20"/>
          <w:lang w:val="en-GB"/>
        </w:rPr>
        <w:t xml:space="preserve">This technical support function could also include advice to investors and particularly to the NPIs or private banks; technical support assignments tailored to those banks that want them on how to design their financing programmes. </w:t>
      </w:r>
    </w:p>
    <w:p w:rsidR="009A160D" w:rsidRPr="00825DF0" w:rsidRDefault="009A160D" w:rsidP="008F324D">
      <w:pPr>
        <w:spacing w:line="276" w:lineRule="auto"/>
        <w:contextualSpacing/>
        <w:jc w:val="both"/>
        <w:rPr>
          <w:rFonts w:ascii="Arial" w:hAnsi="Arial" w:cs="Arial"/>
          <w:szCs w:val="20"/>
          <w:lang w:val="en-GB"/>
        </w:rPr>
      </w:pPr>
    </w:p>
    <w:p w:rsidR="00933931" w:rsidRPr="00825DF0" w:rsidRDefault="00933931" w:rsidP="008F324D">
      <w:pPr>
        <w:spacing w:line="276" w:lineRule="auto"/>
        <w:contextualSpacing/>
        <w:jc w:val="both"/>
        <w:rPr>
          <w:rFonts w:ascii="Arial" w:hAnsi="Arial" w:cs="Arial"/>
          <w:szCs w:val="20"/>
          <w:lang w:val="en-GB"/>
        </w:rPr>
      </w:pPr>
    </w:p>
    <w:p w:rsidR="0014128B" w:rsidRPr="00D16A42" w:rsidRDefault="00933931" w:rsidP="00D16A42">
      <w:pPr>
        <w:spacing w:line="276" w:lineRule="auto"/>
        <w:contextualSpacing/>
        <w:jc w:val="both"/>
        <w:rPr>
          <w:rFonts w:ascii="Arial" w:hAnsi="Arial" w:cs="Arial"/>
          <w:szCs w:val="20"/>
          <w:lang w:val="en-GB"/>
        </w:rPr>
      </w:pPr>
      <w:r w:rsidRPr="00825DF0">
        <w:rPr>
          <w:rFonts w:ascii="Arial" w:hAnsi="Arial" w:cs="Arial"/>
          <w:szCs w:val="20"/>
          <w:lang w:val="en-GB"/>
        </w:rPr>
        <w:t>To conclude, the continuation of the IPE and its effective delivery will depend largely on how it interacts with the NPIs and on their cooperation with the EIB group. The approach taken by the EIB group of almost systematic consultation with NPIs when preparing new programmes is very positive and should continue. Initiatives promoting advice to businesses, if confirmed, would benefit from being decentralised as much as possible to the national le</w:t>
      </w:r>
      <w:r w:rsidR="00D16A42">
        <w:rPr>
          <w:rFonts w:ascii="Arial" w:hAnsi="Arial" w:cs="Arial"/>
          <w:szCs w:val="20"/>
          <w:lang w:val="en-GB"/>
        </w:rPr>
        <w:t>vel for purposes of efficiency.</w:t>
      </w:r>
    </w:p>
    <w:sectPr w:rsidR="0014128B" w:rsidRPr="00D16A42" w:rsidSect="008A367F">
      <w:headerReference w:type="default" r:id="rId9"/>
      <w:footerReference w:type="default" r:id="rId10"/>
      <w:type w:val="continuous"/>
      <w:pgSz w:w="11906" w:h="16838" w:code="9"/>
      <w:pgMar w:top="1361" w:right="1361" w:bottom="1361" w:left="136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B62" w:rsidRDefault="00346B62" w:rsidP="003203B9">
      <w:r>
        <w:separator/>
      </w:r>
    </w:p>
  </w:endnote>
  <w:endnote w:type="continuationSeparator" w:id="0">
    <w:p w:rsidR="00346B62" w:rsidRDefault="00346B62" w:rsidP="0032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299119"/>
      <w:docPartObj>
        <w:docPartGallery w:val="Page Numbers (Bottom of Page)"/>
        <w:docPartUnique/>
      </w:docPartObj>
    </w:sdtPr>
    <w:sdtEndPr/>
    <w:sdtContent>
      <w:p w:rsidR="00EC2A46" w:rsidRDefault="00EC2A46">
        <w:pPr>
          <w:pStyle w:val="Pieddepage"/>
          <w:jc w:val="right"/>
        </w:pPr>
        <w:r>
          <w:rPr>
            <w:lang w:val="en-GB"/>
          </w:rPr>
          <w:fldChar w:fldCharType="begin"/>
        </w:r>
        <w:r>
          <w:rPr>
            <w:lang w:val="en-GB"/>
          </w:rPr>
          <w:instrText>PAGE   \* MERGEFORMAT</w:instrText>
        </w:r>
        <w:r>
          <w:rPr>
            <w:lang w:val="en-GB"/>
          </w:rPr>
          <w:fldChar w:fldCharType="separate"/>
        </w:r>
        <w:r w:rsidR="00D16A42">
          <w:rPr>
            <w:noProof/>
            <w:lang w:val="en-GB"/>
          </w:rPr>
          <w:t>2</w:t>
        </w:r>
        <w:r>
          <w:rPr>
            <w:lang w:val="en-GB"/>
          </w:rPr>
          <w:fldChar w:fldCharType="end"/>
        </w:r>
      </w:p>
    </w:sdtContent>
  </w:sdt>
  <w:p w:rsidR="00EC2A46" w:rsidRDefault="00EC2A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B62" w:rsidRDefault="00346B62" w:rsidP="003203B9">
      <w:r>
        <w:separator/>
      </w:r>
    </w:p>
  </w:footnote>
  <w:footnote w:type="continuationSeparator" w:id="0">
    <w:p w:rsidR="00346B62" w:rsidRDefault="00346B62" w:rsidP="003203B9">
      <w:r>
        <w:continuationSeparator/>
      </w:r>
    </w:p>
  </w:footnote>
  <w:footnote w:id="1">
    <w:p w:rsidR="00EC2A46" w:rsidRPr="009844B9" w:rsidRDefault="00EC2A46">
      <w:pPr>
        <w:pStyle w:val="Notedebasdepage"/>
        <w:rPr>
          <w:lang w:val="en-US"/>
        </w:rPr>
      </w:pPr>
      <w:r>
        <w:rPr>
          <w:rStyle w:val="Appelnotedebasdep"/>
          <w:lang w:val="en-GB"/>
        </w:rPr>
        <w:footnoteRef/>
      </w:r>
      <w:r>
        <w:rPr>
          <w:lang w:val="en-GB"/>
        </w:rPr>
        <w:t xml:space="preserve">Sources: EIB </w:t>
      </w:r>
    </w:p>
  </w:footnote>
  <w:footnote w:id="2">
    <w:p w:rsidR="00EC2A46" w:rsidRPr="009844B9" w:rsidRDefault="00EC2A46" w:rsidP="00006214">
      <w:pPr>
        <w:pStyle w:val="Notedebasdepage"/>
        <w:rPr>
          <w:lang w:val="en-US"/>
        </w:rPr>
      </w:pPr>
      <w:r>
        <w:rPr>
          <w:vertAlign w:val="superscript"/>
          <w:lang w:val="en-GB"/>
        </w:rPr>
        <w:footnoteRef/>
      </w:r>
      <w:r>
        <w:rPr>
          <w:vertAlign w:val="superscript"/>
          <w:lang w:val="en-GB"/>
        </w:rPr>
        <w:t xml:space="preserve"> </w:t>
      </w:r>
      <w:r>
        <w:rPr>
          <w:lang w:val="en-GB"/>
        </w:rPr>
        <w:t>Financing: total of the portfolio of loans secured by the EIF + direct co-financing alongside the EIB; Investment: total of capital su</w:t>
      </w:r>
      <w:r w:rsidR="00A936AD">
        <w:rPr>
          <w:lang w:val="en-GB"/>
        </w:rPr>
        <w:t>bscribed to funds or businesses</w:t>
      </w:r>
      <w:r>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46" w:rsidRDefault="00D16A42">
    <w:pPr>
      <w:pStyle w:val="En-tte"/>
    </w:pPr>
    <w:r>
      <w:rPr>
        <w:noProof/>
        <w:lang w:val="en-GB"/>
      </w:rPr>
      <w:pict>
        <v:oval id="Oval 10" o:spid="_x0000_s2050" style="position:absolute;margin-left:55pt;margin-top:36.85pt;width:13.3pt;height:1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" fillcolor="#ffcd00 [3204]" stroked="f">
          <w10:wrap anchorx="page" anchory="page"/>
        </v:oval>
      </w:pict>
    </w:r>
    <w:r>
      <w:rPr>
        <w:noProof/>
        <w:lang w:val="en-GB"/>
      </w:rPr>
      <w:pict>
        <v:oval id="Oval 9" o:spid="_x0000_s2049" style="position:absolute;margin-left:36.85pt;margin-top:36.85pt;width:13.3pt;height:1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" fillcolor="#786e64 [3205]" stroked="f">
          <w10:wrap anchorx="page" anchory="page"/>
        </v:oval>
      </w:pict>
    </w:r>
  </w:p>
  <w:p w:rsidR="00EC2A46" w:rsidRDefault="00EC2A46">
    <w:pPr>
      <w:pStyle w:val="En-tte"/>
    </w:pPr>
  </w:p>
  <w:p w:rsidR="00EC2A46" w:rsidRDefault="00EC2A46">
    <w:pPr>
      <w:pStyle w:val="En-tte"/>
    </w:pPr>
  </w:p>
  <w:p w:rsidR="00EC2A46" w:rsidRDefault="00EC2A46" w:rsidP="00612695">
    <w:pPr>
      <w:pStyle w:val="En-tte"/>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478F4"/>
    <w:multiLevelType w:val="hybridMultilevel"/>
    <w:tmpl w:val="DBDE64C6"/>
    <w:lvl w:ilvl="0" w:tplc="EFB0DB50">
      <w:start w:val="1"/>
      <w:numFmt w:val="bullet"/>
      <w:lvlText w:val=""/>
      <w:lvlJc w:val="left"/>
      <w:pPr>
        <w:ind w:left="720" w:hanging="360"/>
      </w:pPr>
      <w:rPr>
        <w:rFonts w:ascii="Wingdings" w:hAnsi="Wingdings" w:cs="Times New Roman" w:hint="default"/>
        <w:b w:val="0"/>
        <w:i w:val="0"/>
        <w:color w:val="786E64" w:themeColor="accent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BB0E3A"/>
    <w:multiLevelType w:val="multilevel"/>
    <w:tmpl w:val="6970833A"/>
    <w:lvl w:ilvl="0">
      <w:start w:val="1"/>
      <w:numFmt w:val="bullet"/>
      <w:pStyle w:val="Puce1"/>
      <w:lvlText w:val="l"/>
      <w:lvlJc w:val="left"/>
      <w:pPr>
        <w:ind w:left="5800" w:hanging="360"/>
      </w:pPr>
      <w:rPr>
        <w:rFonts w:ascii="Wingdings" w:hAnsi="Wingdings" w:hint="default"/>
        <w:color w:val="786E64" w:themeColor="accent2"/>
      </w:rPr>
    </w:lvl>
    <w:lvl w:ilvl="1">
      <w:start w:val="1"/>
      <w:numFmt w:val="bullet"/>
      <w:pStyle w:val="Puce2"/>
      <w:lvlText w:val=""/>
      <w:lvlJc w:val="left"/>
      <w:pPr>
        <w:ind w:left="6160" w:hanging="360"/>
      </w:pPr>
      <w:rPr>
        <w:rFonts w:ascii="Wingdings" w:hAnsi="Wingdings" w:hint="default"/>
        <w:color w:val="7F7F7F" w:themeColor="text1" w:themeTint="80"/>
      </w:rPr>
    </w:lvl>
    <w:lvl w:ilvl="2">
      <w:start w:val="1"/>
      <w:numFmt w:val="bullet"/>
      <w:pStyle w:val="Puce3"/>
      <w:lvlText w:val="l"/>
      <w:lvlJc w:val="left"/>
      <w:pPr>
        <w:ind w:left="6520" w:hanging="360"/>
      </w:pPr>
      <w:rPr>
        <w:rFonts w:ascii="Wingdings" w:hAnsi="Wingdings" w:hint="default"/>
        <w:color w:val="C5C7C8" w:themeColor="text2"/>
      </w:rPr>
    </w:lvl>
    <w:lvl w:ilvl="3">
      <w:start w:val="1"/>
      <w:numFmt w:val="bullet"/>
      <w:lvlText w:val=""/>
      <w:lvlJc w:val="left"/>
      <w:pPr>
        <w:ind w:left="6880" w:hanging="360"/>
      </w:pPr>
      <w:rPr>
        <w:rFonts w:ascii="Symbol" w:hAnsi="Symbol" w:hint="default"/>
      </w:rPr>
    </w:lvl>
    <w:lvl w:ilvl="4">
      <w:start w:val="1"/>
      <w:numFmt w:val="bullet"/>
      <w:lvlText w:val=""/>
      <w:lvlJc w:val="left"/>
      <w:pPr>
        <w:ind w:left="7240" w:hanging="360"/>
      </w:pPr>
      <w:rPr>
        <w:rFonts w:ascii="Symbol" w:hAnsi="Symbol" w:hint="default"/>
      </w:rPr>
    </w:lvl>
    <w:lvl w:ilvl="5">
      <w:start w:val="1"/>
      <w:numFmt w:val="bullet"/>
      <w:lvlText w:val=""/>
      <w:lvlJc w:val="left"/>
      <w:pPr>
        <w:ind w:left="7600" w:hanging="360"/>
      </w:pPr>
      <w:rPr>
        <w:rFonts w:ascii="Wingdings" w:hAnsi="Wingdings" w:hint="default"/>
      </w:rPr>
    </w:lvl>
    <w:lvl w:ilvl="6">
      <w:start w:val="1"/>
      <w:numFmt w:val="bullet"/>
      <w:lvlText w:val=""/>
      <w:lvlJc w:val="left"/>
      <w:pPr>
        <w:ind w:left="7960" w:hanging="360"/>
      </w:pPr>
      <w:rPr>
        <w:rFonts w:ascii="Wingdings" w:hAnsi="Wingdings" w:hint="default"/>
      </w:rPr>
    </w:lvl>
    <w:lvl w:ilvl="7">
      <w:start w:val="1"/>
      <w:numFmt w:val="bullet"/>
      <w:lvlText w:val=""/>
      <w:lvlJc w:val="left"/>
      <w:pPr>
        <w:ind w:left="8320" w:hanging="360"/>
      </w:pPr>
      <w:rPr>
        <w:rFonts w:ascii="Symbol" w:hAnsi="Symbol" w:hint="default"/>
      </w:rPr>
    </w:lvl>
    <w:lvl w:ilvl="8">
      <w:start w:val="1"/>
      <w:numFmt w:val="bullet"/>
      <w:lvlText w:val=""/>
      <w:lvlJc w:val="left"/>
      <w:pPr>
        <w:ind w:left="8680" w:hanging="360"/>
      </w:pPr>
      <w:rPr>
        <w:rFonts w:ascii="Symbol" w:hAnsi="Symbol" w:hint="default"/>
      </w:rPr>
    </w:lvl>
  </w:abstractNum>
  <w:abstractNum w:abstractNumId="2" w15:restartNumberingAfterBreak="0">
    <w:nsid w:val="2C980649"/>
    <w:multiLevelType w:val="hybridMultilevel"/>
    <w:tmpl w:val="8F0A0020"/>
    <w:lvl w:ilvl="0" w:tplc="EFB0DB50">
      <w:start w:val="1"/>
      <w:numFmt w:val="bullet"/>
      <w:lvlText w:val=""/>
      <w:lvlJc w:val="left"/>
      <w:pPr>
        <w:ind w:left="720" w:hanging="360"/>
      </w:pPr>
      <w:rPr>
        <w:rFonts w:ascii="Wingdings" w:hAnsi="Wingdings" w:cs="Times New Roman" w:hint="default"/>
        <w:b w:val="0"/>
        <w:i w:val="0"/>
        <w:color w:val="786E64" w:themeColor="accent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AB24E0"/>
    <w:multiLevelType w:val="multilevel"/>
    <w:tmpl w:val="71E86520"/>
    <w:lvl w:ilvl="0">
      <w:start w:val="1"/>
      <w:numFmt w:val="decimal"/>
      <w:pStyle w:val="Titre1"/>
      <w:suff w:val="space"/>
      <w:lvlText w:val="%1."/>
      <w:lvlJc w:val="left"/>
      <w:pPr>
        <w:ind w:left="142" w:firstLine="0"/>
      </w:pPr>
      <w:rPr>
        <w:rFonts w:ascii="Impact" w:hAnsi="Impact" w:hint="default"/>
        <w:color w:val="FFCD00" w:themeColor="accent1"/>
        <w:sz w:val="30"/>
      </w:rPr>
    </w:lvl>
    <w:lvl w:ilvl="1">
      <w:start w:val="1"/>
      <w:numFmt w:val="decimal"/>
      <w:pStyle w:val="Titre2"/>
      <w:suff w:val="space"/>
      <w:lvlText w:val="%1.%2."/>
      <w:lvlJc w:val="left"/>
      <w:pPr>
        <w:ind w:left="0" w:firstLine="0"/>
      </w:pPr>
      <w:rPr>
        <w:rFonts w:ascii="Impact" w:hAnsi="Impact" w:hint="default"/>
        <w:b w:val="0"/>
        <w:color w:val="FFCD00" w:themeColor="accent1"/>
        <w:sz w:val="22"/>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2FB4561C"/>
    <w:multiLevelType w:val="hybridMultilevel"/>
    <w:tmpl w:val="4DE4A886"/>
    <w:lvl w:ilvl="0" w:tplc="EFB0DB50">
      <w:start w:val="1"/>
      <w:numFmt w:val="bullet"/>
      <w:lvlText w:val=""/>
      <w:lvlJc w:val="left"/>
      <w:pPr>
        <w:ind w:left="720" w:hanging="360"/>
      </w:pPr>
      <w:rPr>
        <w:rFonts w:ascii="Wingdings" w:hAnsi="Wingdings" w:cs="Times New Roman" w:hint="default"/>
        <w:b w:val="0"/>
        <w:i w:val="0"/>
        <w:color w:val="786E64" w:themeColor="accent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B65775"/>
    <w:multiLevelType w:val="hybridMultilevel"/>
    <w:tmpl w:val="DA1CDF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BE911A2"/>
    <w:multiLevelType w:val="hybridMultilevel"/>
    <w:tmpl w:val="A7107CEA"/>
    <w:lvl w:ilvl="0" w:tplc="AD8AF6AE">
      <w:start w:val="1"/>
      <w:numFmt w:val="bullet"/>
      <w:lvlText w:val=""/>
      <w:lvlJc w:val="left"/>
      <w:pPr>
        <w:ind w:left="720" w:hanging="360"/>
      </w:pPr>
      <w:rPr>
        <w:rFonts w:ascii="Wingdings" w:hAnsi="Wingdings" w:hint="default"/>
        <w:color w:val="FFC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E35271"/>
    <w:multiLevelType w:val="hybridMultilevel"/>
    <w:tmpl w:val="E6FE2E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0762FE"/>
    <w:multiLevelType w:val="hybridMultilevel"/>
    <w:tmpl w:val="E3E8C6F8"/>
    <w:lvl w:ilvl="0" w:tplc="EFB0DB50">
      <w:start w:val="1"/>
      <w:numFmt w:val="bullet"/>
      <w:lvlText w:val=""/>
      <w:lvlJc w:val="left"/>
      <w:pPr>
        <w:ind w:left="720" w:hanging="360"/>
      </w:pPr>
      <w:rPr>
        <w:rFonts w:ascii="Wingdings" w:hAnsi="Wingdings" w:cs="Times New Roman" w:hint="default"/>
        <w:b w:val="0"/>
        <w:i w:val="0"/>
        <w:color w:val="786E64" w:themeColor="accent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325FBD"/>
    <w:multiLevelType w:val="multilevel"/>
    <w:tmpl w:val="32322E02"/>
    <w:lvl w:ilvl="0">
      <w:start w:val="1"/>
      <w:numFmt w:val="none"/>
      <w:pStyle w:val="Titre1sansnumrotation"/>
      <w:suff w:val="nothing"/>
      <w:lvlText w:val=""/>
      <w:lvlJc w:val="left"/>
      <w:pPr>
        <w:ind w:left="0" w:firstLine="0"/>
      </w:pPr>
      <w:rPr>
        <w:rFonts w:hint="default"/>
      </w:rPr>
    </w:lvl>
    <w:lvl w:ilvl="1">
      <w:start w:val="1"/>
      <w:numFmt w:val="decimal"/>
      <w:pStyle w:val="Titre2sansnumrotation"/>
      <w:suff w:val="nothing"/>
      <w:lvlText w:val="%1"/>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7B8E5998"/>
    <w:multiLevelType w:val="hybridMultilevel"/>
    <w:tmpl w:val="92C61CAA"/>
    <w:lvl w:ilvl="0" w:tplc="2BDE50F0">
      <w:start w:val="141"/>
      <w:numFmt w:val="bullet"/>
      <w:lvlText w:val="-"/>
      <w:lvlJc w:val="left"/>
      <w:pPr>
        <w:ind w:left="720" w:hanging="360"/>
      </w:pPr>
      <w:rPr>
        <w:rFonts w:ascii="Arial" w:eastAsiaTheme="minorHAnsi" w:hAnsi="Arial" w:cs="Aria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6"/>
  </w:num>
  <w:num w:numId="5">
    <w:abstractNumId w:val="3"/>
    <w:lvlOverride w:ilvl="0">
      <w:startOverride w:val="1"/>
    </w:lvlOverride>
    <w:lvlOverride w:ilvl="1">
      <w:startOverride w:val="1"/>
    </w:lvlOverride>
  </w:num>
  <w:num w:numId="6">
    <w:abstractNumId w:val="3"/>
    <w:lvlOverride w:ilvl="0">
      <w:startOverride w:val="2"/>
    </w:lvlOverride>
    <w:lvlOverride w:ilvl="1">
      <w:startOverride w:val="2"/>
    </w:lvlOverride>
  </w:num>
  <w:num w:numId="7">
    <w:abstractNumId w:val="10"/>
  </w:num>
  <w:num w:numId="8">
    <w:abstractNumId w:val="7"/>
  </w:num>
  <w:num w:numId="9">
    <w:abstractNumId w:val="0"/>
  </w:num>
  <w:num w:numId="10">
    <w:abstractNumId w:val="8"/>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76"/>
    <w:rsid w:val="000006BC"/>
    <w:rsid w:val="00003F75"/>
    <w:rsid w:val="000044D2"/>
    <w:rsid w:val="00005B71"/>
    <w:rsid w:val="00006214"/>
    <w:rsid w:val="00013350"/>
    <w:rsid w:val="00015899"/>
    <w:rsid w:val="000162F2"/>
    <w:rsid w:val="0002265F"/>
    <w:rsid w:val="000236AA"/>
    <w:rsid w:val="00024635"/>
    <w:rsid w:val="00024FB4"/>
    <w:rsid w:val="00027717"/>
    <w:rsid w:val="00032C7D"/>
    <w:rsid w:val="00033CCF"/>
    <w:rsid w:val="0003582F"/>
    <w:rsid w:val="00036249"/>
    <w:rsid w:val="00041608"/>
    <w:rsid w:val="0004418B"/>
    <w:rsid w:val="0004538F"/>
    <w:rsid w:val="00045539"/>
    <w:rsid w:val="00045F05"/>
    <w:rsid w:val="0005240D"/>
    <w:rsid w:val="00053418"/>
    <w:rsid w:val="000544D8"/>
    <w:rsid w:val="00057C0C"/>
    <w:rsid w:val="000618F6"/>
    <w:rsid w:val="0006449D"/>
    <w:rsid w:val="0007206D"/>
    <w:rsid w:val="00073412"/>
    <w:rsid w:val="00075275"/>
    <w:rsid w:val="00075EFC"/>
    <w:rsid w:val="0007617C"/>
    <w:rsid w:val="0008141B"/>
    <w:rsid w:val="000822BC"/>
    <w:rsid w:val="00083E44"/>
    <w:rsid w:val="00083FAB"/>
    <w:rsid w:val="00086FB3"/>
    <w:rsid w:val="0009506A"/>
    <w:rsid w:val="00096ADD"/>
    <w:rsid w:val="000A4094"/>
    <w:rsid w:val="000A4506"/>
    <w:rsid w:val="000A6518"/>
    <w:rsid w:val="000A70CA"/>
    <w:rsid w:val="000B2947"/>
    <w:rsid w:val="000B2B98"/>
    <w:rsid w:val="000B6A0E"/>
    <w:rsid w:val="000B794A"/>
    <w:rsid w:val="000C3D5D"/>
    <w:rsid w:val="000C3E71"/>
    <w:rsid w:val="000C4006"/>
    <w:rsid w:val="000C49E8"/>
    <w:rsid w:val="000C50CC"/>
    <w:rsid w:val="000C66EE"/>
    <w:rsid w:val="000C6C94"/>
    <w:rsid w:val="000D0E46"/>
    <w:rsid w:val="000D128E"/>
    <w:rsid w:val="000D25EC"/>
    <w:rsid w:val="000D3713"/>
    <w:rsid w:val="000D5EDD"/>
    <w:rsid w:val="000D7147"/>
    <w:rsid w:val="000E0A3A"/>
    <w:rsid w:val="000E0CBD"/>
    <w:rsid w:val="000E2FBF"/>
    <w:rsid w:val="000E2FC1"/>
    <w:rsid w:val="000E416B"/>
    <w:rsid w:val="000E4C00"/>
    <w:rsid w:val="000F023D"/>
    <w:rsid w:val="000F37BC"/>
    <w:rsid w:val="000F53CA"/>
    <w:rsid w:val="000F5FAD"/>
    <w:rsid w:val="000F6DF0"/>
    <w:rsid w:val="0010136E"/>
    <w:rsid w:val="00101755"/>
    <w:rsid w:val="00103831"/>
    <w:rsid w:val="00110962"/>
    <w:rsid w:val="00111A1D"/>
    <w:rsid w:val="0011695C"/>
    <w:rsid w:val="00116D62"/>
    <w:rsid w:val="0011778C"/>
    <w:rsid w:val="001178E8"/>
    <w:rsid w:val="00126624"/>
    <w:rsid w:val="00134F83"/>
    <w:rsid w:val="0013597D"/>
    <w:rsid w:val="00136064"/>
    <w:rsid w:val="00136CDD"/>
    <w:rsid w:val="0014128B"/>
    <w:rsid w:val="00141B37"/>
    <w:rsid w:val="0014275F"/>
    <w:rsid w:val="00142CBF"/>
    <w:rsid w:val="00143638"/>
    <w:rsid w:val="00144048"/>
    <w:rsid w:val="00144D30"/>
    <w:rsid w:val="0014547F"/>
    <w:rsid w:val="001512DB"/>
    <w:rsid w:val="001528FB"/>
    <w:rsid w:val="00152BE6"/>
    <w:rsid w:val="00153E7D"/>
    <w:rsid w:val="00153F8D"/>
    <w:rsid w:val="00155727"/>
    <w:rsid w:val="0015596E"/>
    <w:rsid w:val="00160F2B"/>
    <w:rsid w:val="0016158C"/>
    <w:rsid w:val="00161B7C"/>
    <w:rsid w:val="00163F45"/>
    <w:rsid w:val="00164EB3"/>
    <w:rsid w:val="00165007"/>
    <w:rsid w:val="00165705"/>
    <w:rsid w:val="00165996"/>
    <w:rsid w:val="00167176"/>
    <w:rsid w:val="001676BC"/>
    <w:rsid w:val="00174922"/>
    <w:rsid w:val="00174BB7"/>
    <w:rsid w:val="001860D9"/>
    <w:rsid w:val="00190D93"/>
    <w:rsid w:val="0019350F"/>
    <w:rsid w:val="00193B25"/>
    <w:rsid w:val="00194B05"/>
    <w:rsid w:val="001955E7"/>
    <w:rsid w:val="00195D74"/>
    <w:rsid w:val="0019673A"/>
    <w:rsid w:val="00197FF1"/>
    <w:rsid w:val="001A0447"/>
    <w:rsid w:val="001A1A4C"/>
    <w:rsid w:val="001A2574"/>
    <w:rsid w:val="001A2876"/>
    <w:rsid w:val="001A65A5"/>
    <w:rsid w:val="001A7A42"/>
    <w:rsid w:val="001A7C2B"/>
    <w:rsid w:val="001B154B"/>
    <w:rsid w:val="001B2937"/>
    <w:rsid w:val="001B3247"/>
    <w:rsid w:val="001B324C"/>
    <w:rsid w:val="001B3784"/>
    <w:rsid w:val="001B4B97"/>
    <w:rsid w:val="001B5F6B"/>
    <w:rsid w:val="001B7E57"/>
    <w:rsid w:val="001D0F73"/>
    <w:rsid w:val="001D1722"/>
    <w:rsid w:val="001D3FD5"/>
    <w:rsid w:val="001D59D3"/>
    <w:rsid w:val="001D62D9"/>
    <w:rsid w:val="001E0647"/>
    <w:rsid w:val="001E1267"/>
    <w:rsid w:val="001E16EA"/>
    <w:rsid w:val="001E241F"/>
    <w:rsid w:val="001F25CF"/>
    <w:rsid w:val="001F2CD1"/>
    <w:rsid w:val="001F3FC4"/>
    <w:rsid w:val="001F6F42"/>
    <w:rsid w:val="002038EE"/>
    <w:rsid w:val="002063FF"/>
    <w:rsid w:val="00206CB5"/>
    <w:rsid w:val="00206FF5"/>
    <w:rsid w:val="00210BF7"/>
    <w:rsid w:val="00211211"/>
    <w:rsid w:val="002137D7"/>
    <w:rsid w:val="00214F43"/>
    <w:rsid w:val="0021735C"/>
    <w:rsid w:val="00217B82"/>
    <w:rsid w:val="00220F14"/>
    <w:rsid w:val="00221893"/>
    <w:rsid w:val="002245A6"/>
    <w:rsid w:val="00225A8D"/>
    <w:rsid w:val="0023431A"/>
    <w:rsid w:val="002359C6"/>
    <w:rsid w:val="00240369"/>
    <w:rsid w:val="002405B8"/>
    <w:rsid w:val="00241A18"/>
    <w:rsid w:val="00243B90"/>
    <w:rsid w:val="002443D6"/>
    <w:rsid w:val="0025007C"/>
    <w:rsid w:val="00254045"/>
    <w:rsid w:val="0025754B"/>
    <w:rsid w:val="0025763E"/>
    <w:rsid w:val="00257BFA"/>
    <w:rsid w:val="0026136D"/>
    <w:rsid w:val="00261D36"/>
    <w:rsid w:val="0026221C"/>
    <w:rsid w:val="0026436A"/>
    <w:rsid w:val="00270FAC"/>
    <w:rsid w:val="002716F3"/>
    <w:rsid w:val="00271C21"/>
    <w:rsid w:val="002766F8"/>
    <w:rsid w:val="00277609"/>
    <w:rsid w:val="0027771F"/>
    <w:rsid w:val="00281F06"/>
    <w:rsid w:val="002832F5"/>
    <w:rsid w:val="00283478"/>
    <w:rsid w:val="002876C7"/>
    <w:rsid w:val="00287B2C"/>
    <w:rsid w:val="00295488"/>
    <w:rsid w:val="00297190"/>
    <w:rsid w:val="002B1337"/>
    <w:rsid w:val="002B5368"/>
    <w:rsid w:val="002B78FA"/>
    <w:rsid w:val="002C0671"/>
    <w:rsid w:val="002C09FA"/>
    <w:rsid w:val="002C619F"/>
    <w:rsid w:val="002C762C"/>
    <w:rsid w:val="002C76D3"/>
    <w:rsid w:val="002D217D"/>
    <w:rsid w:val="002D408A"/>
    <w:rsid w:val="002D4884"/>
    <w:rsid w:val="002D4B87"/>
    <w:rsid w:val="002D4E65"/>
    <w:rsid w:val="002D4FF2"/>
    <w:rsid w:val="002D64BB"/>
    <w:rsid w:val="002D69A2"/>
    <w:rsid w:val="002E3413"/>
    <w:rsid w:val="002E40A8"/>
    <w:rsid w:val="002E41DD"/>
    <w:rsid w:val="002F36DF"/>
    <w:rsid w:val="002F3980"/>
    <w:rsid w:val="002F457B"/>
    <w:rsid w:val="002F5876"/>
    <w:rsid w:val="002F607E"/>
    <w:rsid w:val="0030235F"/>
    <w:rsid w:val="003025D4"/>
    <w:rsid w:val="003044E6"/>
    <w:rsid w:val="0030644E"/>
    <w:rsid w:val="00307A73"/>
    <w:rsid w:val="003107C9"/>
    <w:rsid w:val="00310D3F"/>
    <w:rsid w:val="0031172A"/>
    <w:rsid w:val="00311896"/>
    <w:rsid w:val="00312A27"/>
    <w:rsid w:val="003137AC"/>
    <w:rsid w:val="00314620"/>
    <w:rsid w:val="003159FF"/>
    <w:rsid w:val="0031618D"/>
    <w:rsid w:val="0031746E"/>
    <w:rsid w:val="003175C3"/>
    <w:rsid w:val="003203B9"/>
    <w:rsid w:val="00321B2B"/>
    <w:rsid w:val="00322E06"/>
    <w:rsid w:val="00323F00"/>
    <w:rsid w:val="0032598E"/>
    <w:rsid w:val="00326D3F"/>
    <w:rsid w:val="00327F08"/>
    <w:rsid w:val="003315A1"/>
    <w:rsid w:val="00332732"/>
    <w:rsid w:val="0033460F"/>
    <w:rsid w:val="0033697E"/>
    <w:rsid w:val="00337FE4"/>
    <w:rsid w:val="00340FA1"/>
    <w:rsid w:val="00341F7F"/>
    <w:rsid w:val="00342B7E"/>
    <w:rsid w:val="00342E5E"/>
    <w:rsid w:val="0034315B"/>
    <w:rsid w:val="003464BF"/>
    <w:rsid w:val="00346B62"/>
    <w:rsid w:val="0034734F"/>
    <w:rsid w:val="003473B4"/>
    <w:rsid w:val="003535A6"/>
    <w:rsid w:val="003535E9"/>
    <w:rsid w:val="00355510"/>
    <w:rsid w:val="00360FC2"/>
    <w:rsid w:val="00362093"/>
    <w:rsid w:val="00365B13"/>
    <w:rsid w:val="00366CFC"/>
    <w:rsid w:val="0036739A"/>
    <w:rsid w:val="0036763C"/>
    <w:rsid w:val="00370007"/>
    <w:rsid w:val="00370CB0"/>
    <w:rsid w:val="00371117"/>
    <w:rsid w:val="00375B41"/>
    <w:rsid w:val="00380B6B"/>
    <w:rsid w:val="0038102E"/>
    <w:rsid w:val="00383AF9"/>
    <w:rsid w:val="003873A6"/>
    <w:rsid w:val="003908FA"/>
    <w:rsid w:val="00390AD5"/>
    <w:rsid w:val="00392D95"/>
    <w:rsid w:val="00394638"/>
    <w:rsid w:val="0039535E"/>
    <w:rsid w:val="003963CB"/>
    <w:rsid w:val="00396EBA"/>
    <w:rsid w:val="00397007"/>
    <w:rsid w:val="003A002A"/>
    <w:rsid w:val="003A0D41"/>
    <w:rsid w:val="003A15AE"/>
    <w:rsid w:val="003A2515"/>
    <w:rsid w:val="003A26B3"/>
    <w:rsid w:val="003A2E87"/>
    <w:rsid w:val="003A330D"/>
    <w:rsid w:val="003A49E2"/>
    <w:rsid w:val="003A4B68"/>
    <w:rsid w:val="003A6EDC"/>
    <w:rsid w:val="003B02F7"/>
    <w:rsid w:val="003B20B0"/>
    <w:rsid w:val="003B220C"/>
    <w:rsid w:val="003B6F62"/>
    <w:rsid w:val="003C3642"/>
    <w:rsid w:val="003C3672"/>
    <w:rsid w:val="003C52CD"/>
    <w:rsid w:val="003C62DB"/>
    <w:rsid w:val="003D04C6"/>
    <w:rsid w:val="003D097F"/>
    <w:rsid w:val="003D2FE5"/>
    <w:rsid w:val="003D7B9B"/>
    <w:rsid w:val="003E08A4"/>
    <w:rsid w:val="003E7739"/>
    <w:rsid w:val="003F3E97"/>
    <w:rsid w:val="003F5B2F"/>
    <w:rsid w:val="003F6CE4"/>
    <w:rsid w:val="004019E5"/>
    <w:rsid w:val="0040270D"/>
    <w:rsid w:val="00403B0E"/>
    <w:rsid w:val="00404195"/>
    <w:rsid w:val="00405400"/>
    <w:rsid w:val="004071FD"/>
    <w:rsid w:val="004072DB"/>
    <w:rsid w:val="00407713"/>
    <w:rsid w:val="004079DF"/>
    <w:rsid w:val="00410168"/>
    <w:rsid w:val="00410857"/>
    <w:rsid w:val="0041379C"/>
    <w:rsid w:val="00416691"/>
    <w:rsid w:val="00417572"/>
    <w:rsid w:val="00420547"/>
    <w:rsid w:val="00420DB5"/>
    <w:rsid w:val="00430BD1"/>
    <w:rsid w:val="004330E2"/>
    <w:rsid w:val="00434268"/>
    <w:rsid w:val="004342A2"/>
    <w:rsid w:val="00435BC7"/>
    <w:rsid w:val="0044009E"/>
    <w:rsid w:val="00440493"/>
    <w:rsid w:val="00442731"/>
    <w:rsid w:val="00445DC9"/>
    <w:rsid w:val="00450CA2"/>
    <w:rsid w:val="00452BC7"/>
    <w:rsid w:val="00454176"/>
    <w:rsid w:val="004601E9"/>
    <w:rsid w:val="004602F5"/>
    <w:rsid w:val="00461521"/>
    <w:rsid w:val="004615B5"/>
    <w:rsid w:val="00461B76"/>
    <w:rsid w:val="0046231D"/>
    <w:rsid w:val="00463A67"/>
    <w:rsid w:val="00463FFD"/>
    <w:rsid w:val="00465CD5"/>
    <w:rsid w:val="0046623F"/>
    <w:rsid w:val="00466AD0"/>
    <w:rsid w:val="00467C02"/>
    <w:rsid w:val="00470E2E"/>
    <w:rsid w:val="004718AA"/>
    <w:rsid w:val="00477AE0"/>
    <w:rsid w:val="00477FB4"/>
    <w:rsid w:val="0048137B"/>
    <w:rsid w:val="00485305"/>
    <w:rsid w:val="00487C91"/>
    <w:rsid w:val="00487F13"/>
    <w:rsid w:val="0049008B"/>
    <w:rsid w:val="0049056D"/>
    <w:rsid w:val="00492B3B"/>
    <w:rsid w:val="004945EC"/>
    <w:rsid w:val="004A0C1C"/>
    <w:rsid w:val="004A1824"/>
    <w:rsid w:val="004A214F"/>
    <w:rsid w:val="004A403D"/>
    <w:rsid w:val="004A49F1"/>
    <w:rsid w:val="004A4A35"/>
    <w:rsid w:val="004A4BBA"/>
    <w:rsid w:val="004A6A4A"/>
    <w:rsid w:val="004A706D"/>
    <w:rsid w:val="004A7C84"/>
    <w:rsid w:val="004B1052"/>
    <w:rsid w:val="004B34A8"/>
    <w:rsid w:val="004B38D9"/>
    <w:rsid w:val="004B39F3"/>
    <w:rsid w:val="004B3CF9"/>
    <w:rsid w:val="004B4D2C"/>
    <w:rsid w:val="004B5196"/>
    <w:rsid w:val="004B667C"/>
    <w:rsid w:val="004B7755"/>
    <w:rsid w:val="004C196A"/>
    <w:rsid w:val="004C1ACF"/>
    <w:rsid w:val="004C2A98"/>
    <w:rsid w:val="004C3A46"/>
    <w:rsid w:val="004C41FD"/>
    <w:rsid w:val="004C6EC8"/>
    <w:rsid w:val="004C7850"/>
    <w:rsid w:val="004C7BFB"/>
    <w:rsid w:val="004D07FB"/>
    <w:rsid w:val="004E0586"/>
    <w:rsid w:val="004E1B5A"/>
    <w:rsid w:val="004E1FD8"/>
    <w:rsid w:val="004E7313"/>
    <w:rsid w:val="004E744F"/>
    <w:rsid w:val="004F661B"/>
    <w:rsid w:val="004F7BC0"/>
    <w:rsid w:val="004F7CB8"/>
    <w:rsid w:val="00503433"/>
    <w:rsid w:val="00503FEE"/>
    <w:rsid w:val="005063AC"/>
    <w:rsid w:val="00511088"/>
    <w:rsid w:val="00512F6A"/>
    <w:rsid w:val="00514F02"/>
    <w:rsid w:val="00515DF5"/>
    <w:rsid w:val="0052076A"/>
    <w:rsid w:val="00520DB2"/>
    <w:rsid w:val="00521DB0"/>
    <w:rsid w:val="0052347E"/>
    <w:rsid w:val="005264C4"/>
    <w:rsid w:val="00530A85"/>
    <w:rsid w:val="0053156A"/>
    <w:rsid w:val="00532DE7"/>
    <w:rsid w:val="005332DA"/>
    <w:rsid w:val="00535187"/>
    <w:rsid w:val="0053555F"/>
    <w:rsid w:val="0053584F"/>
    <w:rsid w:val="00540BBD"/>
    <w:rsid w:val="00543C4F"/>
    <w:rsid w:val="0054463B"/>
    <w:rsid w:val="005466EC"/>
    <w:rsid w:val="0054673D"/>
    <w:rsid w:val="005469A4"/>
    <w:rsid w:val="005472C9"/>
    <w:rsid w:val="00547A5F"/>
    <w:rsid w:val="005503BE"/>
    <w:rsid w:val="00550D7F"/>
    <w:rsid w:val="00551DDF"/>
    <w:rsid w:val="00552297"/>
    <w:rsid w:val="00561351"/>
    <w:rsid w:val="00562086"/>
    <w:rsid w:val="005621FA"/>
    <w:rsid w:val="0056220D"/>
    <w:rsid w:val="005625D0"/>
    <w:rsid w:val="00562662"/>
    <w:rsid w:val="005653CB"/>
    <w:rsid w:val="005665F2"/>
    <w:rsid w:val="00566ADF"/>
    <w:rsid w:val="0057234A"/>
    <w:rsid w:val="005723E1"/>
    <w:rsid w:val="00572B0B"/>
    <w:rsid w:val="00574A43"/>
    <w:rsid w:val="00576B40"/>
    <w:rsid w:val="00576E5B"/>
    <w:rsid w:val="00580309"/>
    <w:rsid w:val="00582437"/>
    <w:rsid w:val="005837AE"/>
    <w:rsid w:val="005843D4"/>
    <w:rsid w:val="00584A3C"/>
    <w:rsid w:val="005857B0"/>
    <w:rsid w:val="00586B4D"/>
    <w:rsid w:val="00590929"/>
    <w:rsid w:val="0059100A"/>
    <w:rsid w:val="00596142"/>
    <w:rsid w:val="005A0193"/>
    <w:rsid w:val="005B0B9C"/>
    <w:rsid w:val="005B32BC"/>
    <w:rsid w:val="005B3921"/>
    <w:rsid w:val="005B440E"/>
    <w:rsid w:val="005B522C"/>
    <w:rsid w:val="005B5FDC"/>
    <w:rsid w:val="005B65D2"/>
    <w:rsid w:val="005B6F55"/>
    <w:rsid w:val="005C1389"/>
    <w:rsid w:val="005C2A08"/>
    <w:rsid w:val="005C4989"/>
    <w:rsid w:val="005D18DE"/>
    <w:rsid w:val="005D240A"/>
    <w:rsid w:val="005D48F3"/>
    <w:rsid w:val="005D4972"/>
    <w:rsid w:val="005D498E"/>
    <w:rsid w:val="005E121C"/>
    <w:rsid w:val="005E34DC"/>
    <w:rsid w:val="005F102A"/>
    <w:rsid w:val="005F2545"/>
    <w:rsid w:val="005F397F"/>
    <w:rsid w:val="005F50AB"/>
    <w:rsid w:val="005F5F87"/>
    <w:rsid w:val="00601D86"/>
    <w:rsid w:val="00602EF9"/>
    <w:rsid w:val="00605DA9"/>
    <w:rsid w:val="00611CDF"/>
    <w:rsid w:val="00612695"/>
    <w:rsid w:val="00616450"/>
    <w:rsid w:val="0062141D"/>
    <w:rsid w:val="00624EB4"/>
    <w:rsid w:val="00633CCA"/>
    <w:rsid w:val="00636547"/>
    <w:rsid w:val="00637EA4"/>
    <w:rsid w:val="00641EE9"/>
    <w:rsid w:val="00645CE1"/>
    <w:rsid w:val="0064616D"/>
    <w:rsid w:val="00650F45"/>
    <w:rsid w:val="00651DBC"/>
    <w:rsid w:val="00652663"/>
    <w:rsid w:val="00655BDD"/>
    <w:rsid w:val="00656A24"/>
    <w:rsid w:val="00657E2B"/>
    <w:rsid w:val="0066142C"/>
    <w:rsid w:val="00661B98"/>
    <w:rsid w:val="006662E2"/>
    <w:rsid w:val="006678E8"/>
    <w:rsid w:val="00671A5B"/>
    <w:rsid w:val="00673698"/>
    <w:rsid w:val="006742F2"/>
    <w:rsid w:val="006745CC"/>
    <w:rsid w:val="00674F67"/>
    <w:rsid w:val="00676872"/>
    <w:rsid w:val="00680C0A"/>
    <w:rsid w:val="0068116B"/>
    <w:rsid w:val="00681605"/>
    <w:rsid w:val="00681AE6"/>
    <w:rsid w:val="00681EE3"/>
    <w:rsid w:val="006828F0"/>
    <w:rsid w:val="00686C41"/>
    <w:rsid w:val="0068722E"/>
    <w:rsid w:val="006874F5"/>
    <w:rsid w:val="00687DA4"/>
    <w:rsid w:val="006903FB"/>
    <w:rsid w:val="00693064"/>
    <w:rsid w:val="00693EB8"/>
    <w:rsid w:val="006953FD"/>
    <w:rsid w:val="006A0870"/>
    <w:rsid w:val="006A2622"/>
    <w:rsid w:val="006A32C1"/>
    <w:rsid w:val="006A346A"/>
    <w:rsid w:val="006A64B0"/>
    <w:rsid w:val="006B1181"/>
    <w:rsid w:val="006B4029"/>
    <w:rsid w:val="006B6F7B"/>
    <w:rsid w:val="006B7BEF"/>
    <w:rsid w:val="006C53F7"/>
    <w:rsid w:val="006C623B"/>
    <w:rsid w:val="006C66DB"/>
    <w:rsid w:val="006C70E4"/>
    <w:rsid w:val="006C73EB"/>
    <w:rsid w:val="006C7859"/>
    <w:rsid w:val="006D3058"/>
    <w:rsid w:val="006D35A0"/>
    <w:rsid w:val="006D5C47"/>
    <w:rsid w:val="006E0789"/>
    <w:rsid w:val="006E0E9B"/>
    <w:rsid w:val="006E170E"/>
    <w:rsid w:val="006E231A"/>
    <w:rsid w:val="006E30FA"/>
    <w:rsid w:val="006E6DB5"/>
    <w:rsid w:val="006F0392"/>
    <w:rsid w:val="006F0CEC"/>
    <w:rsid w:val="006F2201"/>
    <w:rsid w:val="006F7F27"/>
    <w:rsid w:val="00702DC7"/>
    <w:rsid w:val="00705AE1"/>
    <w:rsid w:val="00706473"/>
    <w:rsid w:val="00715934"/>
    <w:rsid w:val="00715EEC"/>
    <w:rsid w:val="00716C8C"/>
    <w:rsid w:val="0072241A"/>
    <w:rsid w:val="0072461B"/>
    <w:rsid w:val="00737BFA"/>
    <w:rsid w:val="00740DEA"/>
    <w:rsid w:val="007415EF"/>
    <w:rsid w:val="0074198A"/>
    <w:rsid w:val="00742E39"/>
    <w:rsid w:val="007439F8"/>
    <w:rsid w:val="00745C53"/>
    <w:rsid w:val="00746447"/>
    <w:rsid w:val="007466FC"/>
    <w:rsid w:val="00746861"/>
    <w:rsid w:val="00750352"/>
    <w:rsid w:val="00752BF6"/>
    <w:rsid w:val="00754B54"/>
    <w:rsid w:val="007561D2"/>
    <w:rsid w:val="0075696B"/>
    <w:rsid w:val="00756EDF"/>
    <w:rsid w:val="00757B53"/>
    <w:rsid w:val="007649D1"/>
    <w:rsid w:val="00766091"/>
    <w:rsid w:val="00766E6F"/>
    <w:rsid w:val="00770842"/>
    <w:rsid w:val="00772338"/>
    <w:rsid w:val="00773560"/>
    <w:rsid w:val="0077375B"/>
    <w:rsid w:val="007741C4"/>
    <w:rsid w:val="007743FD"/>
    <w:rsid w:val="00775372"/>
    <w:rsid w:val="0078039C"/>
    <w:rsid w:val="00782004"/>
    <w:rsid w:val="0078219C"/>
    <w:rsid w:val="007877B6"/>
    <w:rsid w:val="007878C1"/>
    <w:rsid w:val="00792AD3"/>
    <w:rsid w:val="00793841"/>
    <w:rsid w:val="00794DF7"/>
    <w:rsid w:val="00797F50"/>
    <w:rsid w:val="007A27DF"/>
    <w:rsid w:val="007A42B6"/>
    <w:rsid w:val="007A60EE"/>
    <w:rsid w:val="007A6DFF"/>
    <w:rsid w:val="007A6EA4"/>
    <w:rsid w:val="007B0EAB"/>
    <w:rsid w:val="007B400A"/>
    <w:rsid w:val="007B4057"/>
    <w:rsid w:val="007B4806"/>
    <w:rsid w:val="007C1803"/>
    <w:rsid w:val="007C226B"/>
    <w:rsid w:val="007C4595"/>
    <w:rsid w:val="007C50E1"/>
    <w:rsid w:val="007C5C67"/>
    <w:rsid w:val="007C61C4"/>
    <w:rsid w:val="007C6F47"/>
    <w:rsid w:val="007C734A"/>
    <w:rsid w:val="007C7C81"/>
    <w:rsid w:val="007D110D"/>
    <w:rsid w:val="007D18A3"/>
    <w:rsid w:val="007D59C6"/>
    <w:rsid w:val="007D6EE8"/>
    <w:rsid w:val="007D7F73"/>
    <w:rsid w:val="007E1658"/>
    <w:rsid w:val="007E3F42"/>
    <w:rsid w:val="007F0A45"/>
    <w:rsid w:val="007F2121"/>
    <w:rsid w:val="007F2EAB"/>
    <w:rsid w:val="007F70F2"/>
    <w:rsid w:val="00800528"/>
    <w:rsid w:val="00802384"/>
    <w:rsid w:val="00803896"/>
    <w:rsid w:val="008061E0"/>
    <w:rsid w:val="00807F72"/>
    <w:rsid w:val="00811899"/>
    <w:rsid w:val="00814E81"/>
    <w:rsid w:val="00816B5C"/>
    <w:rsid w:val="00817865"/>
    <w:rsid w:val="0082076A"/>
    <w:rsid w:val="0082164E"/>
    <w:rsid w:val="008229CA"/>
    <w:rsid w:val="0082388B"/>
    <w:rsid w:val="00823F33"/>
    <w:rsid w:val="008242F3"/>
    <w:rsid w:val="008247F4"/>
    <w:rsid w:val="00824E4B"/>
    <w:rsid w:val="00825DF0"/>
    <w:rsid w:val="00826ADC"/>
    <w:rsid w:val="00826D93"/>
    <w:rsid w:val="008276EC"/>
    <w:rsid w:val="0083653D"/>
    <w:rsid w:val="00840B29"/>
    <w:rsid w:val="00840D55"/>
    <w:rsid w:val="00841F3D"/>
    <w:rsid w:val="00843520"/>
    <w:rsid w:val="00843A11"/>
    <w:rsid w:val="00845543"/>
    <w:rsid w:val="008478D6"/>
    <w:rsid w:val="00850055"/>
    <w:rsid w:val="00850465"/>
    <w:rsid w:val="0085079A"/>
    <w:rsid w:val="00850D93"/>
    <w:rsid w:val="00852AF5"/>
    <w:rsid w:val="00853016"/>
    <w:rsid w:val="008532DA"/>
    <w:rsid w:val="008535E3"/>
    <w:rsid w:val="00854C68"/>
    <w:rsid w:val="00860365"/>
    <w:rsid w:val="0086143A"/>
    <w:rsid w:val="00862893"/>
    <w:rsid w:val="00864BBA"/>
    <w:rsid w:val="00870E59"/>
    <w:rsid w:val="008712EB"/>
    <w:rsid w:val="008718AE"/>
    <w:rsid w:val="0087483A"/>
    <w:rsid w:val="008775F3"/>
    <w:rsid w:val="00880B2F"/>
    <w:rsid w:val="0088144D"/>
    <w:rsid w:val="00885DFA"/>
    <w:rsid w:val="00887ABC"/>
    <w:rsid w:val="00890A57"/>
    <w:rsid w:val="00891442"/>
    <w:rsid w:val="008A06EF"/>
    <w:rsid w:val="008A1BF8"/>
    <w:rsid w:val="008A1C0E"/>
    <w:rsid w:val="008A2BB1"/>
    <w:rsid w:val="008A367F"/>
    <w:rsid w:val="008A4B3E"/>
    <w:rsid w:val="008A4D40"/>
    <w:rsid w:val="008B0610"/>
    <w:rsid w:val="008B110F"/>
    <w:rsid w:val="008B2A5B"/>
    <w:rsid w:val="008B523F"/>
    <w:rsid w:val="008B687B"/>
    <w:rsid w:val="008C2636"/>
    <w:rsid w:val="008C34A6"/>
    <w:rsid w:val="008C56D5"/>
    <w:rsid w:val="008C763A"/>
    <w:rsid w:val="008D2918"/>
    <w:rsid w:val="008D311B"/>
    <w:rsid w:val="008D4B24"/>
    <w:rsid w:val="008E017E"/>
    <w:rsid w:val="008E0717"/>
    <w:rsid w:val="008E160F"/>
    <w:rsid w:val="008E1ACD"/>
    <w:rsid w:val="008E688E"/>
    <w:rsid w:val="008F04CE"/>
    <w:rsid w:val="008F0D8B"/>
    <w:rsid w:val="008F11AB"/>
    <w:rsid w:val="008F1C02"/>
    <w:rsid w:val="008F1C18"/>
    <w:rsid w:val="008F2892"/>
    <w:rsid w:val="008F324D"/>
    <w:rsid w:val="008F3397"/>
    <w:rsid w:val="008F3BD9"/>
    <w:rsid w:val="008F3D39"/>
    <w:rsid w:val="008F44EE"/>
    <w:rsid w:val="008F4C89"/>
    <w:rsid w:val="008F7187"/>
    <w:rsid w:val="00901640"/>
    <w:rsid w:val="00903AC2"/>
    <w:rsid w:val="00904890"/>
    <w:rsid w:val="00904AA3"/>
    <w:rsid w:val="00907A67"/>
    <w:rsid w:val="00912F70"/>
    <w:rsid w:val="00912F75"/>
    <w:rsid w:val="009159A2"/>
    <w:rsid w:val="00915C77"/>
    <w:rsid w:val="00917310"/>
    <w:rsid w:val="00920FFC"/>
    <w:rsid w:val="009220AD"/>
    <w:rsid w:val="009246D7"/>
    <w:rsid w:val="009254E4"/>
    <w:rsid w:val="00926453"/>
    <w:rsid w:val="00926FA5"/>
    <w:rsid w:val="00927FF1"/>
    <w:rsid w:val="00933931"/>
    <w:rsid w:val="00936D4D"/>
    <w:rsid w:val="00937F48"/>
    <w:rsid w:val="00940AFB"/>
    <w:rsid w:val="00940D32"/>
    <w:rsid w:val="009414CC"/>
    <w:rsid w:val="00942EDE"/>
    <w:rsid w:val="0094385A"/>
    <w:rsid w:val="00943E9D"/>
    <w:rsid w:val="00945907"/>
    <w:rsid w:val="0094699D"/>
    <w:rsid w:val="009475CD"/>
    <w:rsid w:val="00957CF9"/>
    <w:rsid w:val="0096007D"/>
    <w:rsid w:val="00960406"/>
    <w:rsid w:val="00962219"/>
    <w:rsid w:val="00962FE3"/>
    <w:rsid w:val="0096464E"/>
    <w:rsid w:val="00964E35"/>
    <w:rsid w:val="00964F0E"/>
    <w:rsid w:val="009664DB"/>
    <w:rsid w:val="009668ED"/>
    <w:rsid w:val="00966AF2"/>
    <w:rsid w:val="00970858"/>
    <w:rsid w:val="00972EC6"/>
    <w:rsid w:val="00973058"/>
    <w:rsid w:val="00974261"/>
    <w:rsid w:val="00974A93"/>
    <w:rsid w:val="00976E55"/>
    <w:rsid w:val="00980563"/>
    <w:rsid w:val="00980C0F"/>
    <w:rsid w:val="009844B9"/>
    <w:rsid w:val="00985601"/>
    <w:rsid w:val="00985B69"/>
    <w:rsid w:val="00986B31"/>
    <w:rsid w:val="00987C48"/>
    <w:rsid w:val="009901B6"/>
    <w:rsid w:val="009905AB"/>
    <w:rsid w:val="00991CA6"/>
    <w:rsid w:val="0099289D"/>
    <w:rsid w:val="00993C1F"/>
    <w:rsid w:val="00994B61"/>
    <w:rsid w:val="00994FC8"/>
    <w:rsid w:val="0099633F"/>
    <w:rsid w:val="009973ED"/>
    <w:rsid w:val="0099748B"/>
    <w:rsid w:val="009A0107"/>
    <w:rsid w:val="009A160D"/>
    <w:rsid w:val="009A3754"/>
    <w:rsid w:val="009A3D49"/>
    <w:rsid w:val="009A44F7"/>
    <w:rsid w:val="009B6C91"/>
    <w:rsid w:val="009C0A0C"/>
    <w:rsid w:val="009C2407"/>
    <w:rsid w:val="009C2AC1"/>
    <w:rsid w:val="009C7CC0"/>
    <w:rsid w:val="009D0AE7"/>
    <w:rsid w:val="009D3BA8"/>
    <w:rsid w:val="009D4BEB"/>
    <w:rsid w:val="009D4CFB"/>
    <w:rsid w:val="009D4D02"/>
    <w:rsid w:val="009D704C"/>
    <w:rsid w:val="009E0A52"/>
    <w:rsid w:val="009E1C62"/>
    <w:rsid w:val="009E205D"/>
    <w:rsid w:val="009E4E88"/>
    <w:rsid w:val="009E4FA3"/>
    <w:rsid w:val="009E5190"/>
    <w:rsid w:val="009F0380"/>
    <w:rsid w:val="009F13C8"/>
    <w:rsid w:val="009F38D6"/>
    <w:rsid w:val="009F6A51"/>
    <w:rsid w:val="00A002C2"/>
    <w:rsid w:val="00A02E88"/>
    <w:rsid w:val="00A0768D"/>
    <w:rsid w:val="00A11A7F"/>
    <w:rsid w:val="00A11FD2"/>
    <w:rsid w:val="00A122B5"/>
    <w:rsid w:val="00A12551"/>
    <w:rsid w:val="00A12F14"/>
    <w:rsid w:val="00A13C9C"/>
    <w:rsid w:val="00A14B87"/>
    <w:rsid w:val="00A16023"/>
    <w:rsid w:val="00A22179"/>
    <w:rsid w:val="00A26705"/>
    <w:rsid w:val="00A351F8"/>
    <w:rsid w:val="00A35975"/>
    <w:rsid w:val="00A3738A"/>
    <w:rsid w:val="00A4084F"/>
    <w:rsid w:val="00A41DD2"/>
    <w:rsid w:val="00A421E8"/>
    <w:rsid w:val="00A42577"/>
    <w:rsid w:val="00A432F4"/>
    <w:rsid w:val="00A438E8"/>
    <w:rsid w:val="00A45ED7"/>
    <w:rsid w:val="00A461CF"/>
    <w:rsid w:val="00A504BB"/>
    <w:rsid w:val="00A509DE"/>
    <w:rsid w:val="00A5155F"/>
    <w:rsid w:val="00A52368"/>
    <w:rsid w:val="00A540F0"/>
    <w:rsid w:val="00A55AE5"/>
    <w:rsid w:val="00A57931"/>
    <w:rsid w:val="00A61974"/>
    <w:rsid w:val="00A628EC"/>
    <w:rsid w:val="00A6625A"/>
    <w:rsid w:val="00A67322"/>
    <w:rsid w:val="00A70CA7"/>
    <w:rsid w:val="00A74789"/>
    <w:rsid w:val="00A74E38"/>
    <w:rsid w:val="00A75765"/>
    <w:rsid w:val="00A7645E"/>
    <w:rsid w:val="00A77E4A"/>
    <w:rsid w:val="00A81721"/>
    <w:rsid w:val="00A819D0"/>
    <w:rsid w:val="00A829A1"/>
    <w:rsid w:val="00A82F38"/>
    <w:rsid w:val="00A83255"/>
    <w:rsid w:val="00A83454"/>
    <w:rsid w:val="00A83534"/>
    <w:rsid w:val="00A84F50"/>
    <w:rsid w:val="00A850CE"/>
    <w:rsid w:val="00A87186"/>
    <w:rsid w:val="00A871FB"/>
    <w:rsid w:val="00A908F5"/>
    <w:rsid w:val="00A90F63"/>
    <w:rsid w:val="00A92DC0"/>
    <w:rsid w:val="00A936AD"/>
    <w:rsid w:val="00A93933"/>
    <w:rsid w:val="00A93B77"/>
    <w:rsid w:val="00A94655"/>
    <w:rsid w:val="00AA02A7"/>
    <w:rsid w:val="00AA0912"/>
    <w:rsid w:val="00AA0ABF"/>
    <w:rsid w:val="00AA39BC"/>
    <w:rsid w:val="00AA5394"/>
    <w:rsid w:val="00AA68F4"/>
    <w:rsid w:val="00AA77C3"/>
    <w:rsid w:val="00AA7FC3"/>
    <w:rsid w:val="00AB1548"/>
    <w:rsid w:val="00AB2D0D"/>
    <w:rsid w:val="00AB76C7"/>
    <w:rsid w:val="00AC1593"/>
    <w:rsid w:val="00AC23A7"/>
    <w:rsid w:val="00AC3360"/>
    <w:rsid w:val="00AC3525"/>
    <w:rsid w:val="00AC441A"/>
    <w:rsid w:val="00AD10EA"/>
    <w:rsid w:val="00AD1930"/>
    <w:rsid w:val="00AD4927"/>
    <w:rsid w:val="00AD4C48"/>
    <w:rsid w:val="00AE2B69"/>
    <w:rsid w:val="00AF1F0F"/>
    <w:rsid w:val="00AF2053"/>
    <w:rsid w:val="00AF3ED2"/>
    <w:rsid w:val="00AF41D2"/>
    <w:rsid w:val="00AF5050"/>
    <w:rsid w:val="00B00959"/>
    <w:rsid w:val="00B01EA7"/>
    <w:rsid w:val="00B021F0"/>
    <w:rsid w:val="00B022BD"/>
    <w:rsid w:val="00B03564"/>
    <w:rsid w:val="00B03F74"/>
    <w:rsid w:val="00B06501"/>
    <w:rsid w:val="00B11F93"/>
    <w:rsid w:val="00B1303B"/>
    <w:rsid w:val="00B15FD5"/>
    <w:rsid w:val="00B161DB"/>
    <w:rsid w:val="00B16677"/>
    <w:rsid w:val="00B169B1"/>
    <w:rsid w:val="00B175CC"/>
    <w:rsid w:val="00B179B7"/>
    <w:rsid w:val="00B23F18"/>
    <w:rsid w:val="00B247AF"/>
    <w:rsid w:val="00B24ACC"/>
    <w:rsid w:val="00B26330"/>
    <w:rsid w:val="00B300F9"/>
    <w:rsid w:val="00B30B23"/>
    <w:rsid w:val="00B32ECC"/>
    <w:rsid w:val="00B32F18"/>
    <w:rsid w:val="00B34F36"/>
    <w:rsid w:val="00B34F37"/>
    <w:rsid w:val="00B3516D"/>
    <w:rsid w:val="00B410F6"/>
    <w:rsid w:val="00B41656"/>
    <w:rsid w:val="00B434CA"/>
    <w:rsid w:val="00B4468F"/>
    <w:rsid w:val="00B55E93"/>
    <w:rsid w:val="00B561E5"/>
    <w:rsid w:val="00B57734"/>
    <w:rsid w:val="00B577E3"/>
    <w:rsid w:val="00B6472E"/>
    <w:rsid w:val="00B65481"/>
    <w:rsid w:val="00B7144B"/>
    <w:rsid w:val="00B746AA"/>
    <w:rsid w:val="00B77E1E"/>
    <w:rsid w:val="00B808B1"/>
    <w:rsid w:val="00B84080"/>
    <w:rsid w:val="00B857B2"/>
    <w:rsid w:val="00B857D6"/>
    <w:rsid w:val="00B868EA"/>
    <w:rsid w:val="00B86FAE"/>
    <w:rsid w:val="00B87444"/>
    <w:rsid w:val="00B90790"/>
    <w:rsid w:val="00B9243E"/>
    <w:rsid w:val="00B92B39"/>
    <w:rsid w:val="00B92C96"/>
    <w:rsid w:val="00B95360"/>
    <w:rsid w:val="00B96DDB"/>
    <w:rsid w:val="00B97898"/>
    <w:rsid w:val="00BA0867"/>
    <w:rsid w:val="00BA179D"/>
    <w:rsid w:val="00BA21D4"/>
    <w:rsid w:val="00BA440C"/>
    <w:rsid w:val="00BA7395"/>
    <w:rsid w:val="00BB23D5"/>
    <w:rsid w:val="00BB4868"/>
    <w:rsid w:val="00BB5067"/>
    <w:rsid w:val="00BB6859"/>
    <w:rsid w:val="00BB76E7"/>
    <w:rsid w:val="00BB7CEF"/>
    <w:rsid w:val="00BB7D4A"/>
    <w:rsid w:val="00BC0776"/>
    <w:rsid w:val="00BC3CC8"/>
    <w:rsid w:val="00BC460A"/>
    <w:rsid w:val="00BC4E07"/>
    <w:rsid w:val="00BC7BCA"/>
    <w:rsid w:val="00BD56D1"/>
    <w:rsid w:val="00BE0901"/>
    <w:rsid w:val="00BE1F6C"/>
    <w:rsid w:val="00BE2952"/>
    <w:rsid w:val="00BE3489"/>
    <w:rsid w:val="00BE4E40"/>
    <w:rsid w:val="00BE5C0D"/>
    <w:rsid w:val="00BE5F93"/>
    <w:rsid w:val="00BE749E"/>
    <w:rsid w:val="00BE7CB4"/>
    <w:rsid w:val="00BF34E8"/>
    <w:rsid w:val="00BF64FE"/>
    <w:rsid w:val="00BF7F06"/>
    <w:rsid w:val="00C00199"/>
    <w:rsid w:val="00C006B5"/>
    <w:rsid w:val="00C0354F"/>
    <w:rsid w:val="00C03566"/>
    <w:rsid w:val="00C04546"/>
    <w:rsid w:val="00C048E6"/>
    <w:rsid w:val="00C126EF"/>
    <w:rsid w:val="00C12A17"/>
    <w:rsid w:val="00C12C53"/>
    <w:rsid w:val="00C13EB2"/>
    <w:rsid w:val="00C1656E"/>
    <w:rsid w:val="00C17BE7"/>
    <w:rsid w:val="00C24F59"/>
    <w:rsid w:val="00C25C6C"/>
    <w:rsid w:val="00C31B04"/>
    <w:rsid w:val="00C33C3D"/>
    <w:rsid w:val="00C37489"/>
    <w:rsid w:val="00C37527"/>
    <w:rsid w:val="00C375A4"/>
    <w:rsid w:val="00C406EF"/>
    <w:rsid w:val="00C41F33"/>
    <w:rsid w:val="00C424B9"/>
    <w:rsid w:val="00C42C77"/>
    <w:rsid w:val="00C4357B"/>
    <w:rsid w:val="00C44CE1"/>
    <w:rsid w:val="00C44E70"/>
    <w:rsid w:val="00C46D8A"/>
    <w:rsid w:val="00C509A8"/>
    <w:rsid w:val="00C5421E"/>
    <w:rsid w:val="00C543D0"/>
    <w:rsid w:val="00C54AC2"/>
    <w:rsid w:val="00C60150"/>
    <w:rsid w:val="00C62BEE"/>
    <w:rsid w:val="00C62EA4"/>
    <w:rsid w:val="00C67BDC"/>
    <w:rsid w:val="00C70278"/>
    <w:rsid w:val="00C70D23"/>
    <w:rsid w:val="00C71431"/>
    <w:rsid w:val="00C7692E"/>
    <w:rsid w:val="00C76EB4"/>
    <w:rsid w:val="00C770AD"/>
    <w:rsid w:val="00C803D8"/>
    <w:rsid w:val="00C80893"/>
    <w:rsid w:val="00C811E1"/>
    <w:rsid w:val="00C822BE"/>
    <w:rsid w:val="00C823CB"/>
    <w:rsid w:val="00C825A5"/>
    <w:rsid w:val="00C82D2F"/>
    <w:rsid w:val="00C832B3"/>
    <w:rsid w:val="00C838FE"/>
    <w:rsid w:val="00C8515A"/>
    <w:rsid w:val="00C85D5B"/>
    <w:rsid w:val="00C87411"/>
    <w:rsid w:val="00C90BDF"/>
    <w:rsid w:val="00C9115D"/>
    <w:rsid w:val="00C965B4"/>
    <w:rsid w:val="00CA1257"/>
    <w:rsid w:val="00CA22CA"/>
    <w:rsid w:val="00CA2CEA"/>
    <w:rsid w:val="00CA68A8"/>
    <w:rsid w:val="00CB016F"/>
    <w:rsid w:val="00CB4569"/>
    <w:rsid w:val="00CB679E"/>
    <w:rsid w:val="00CC002F"/>
    <w:rsid w:val="00CC09BE"/>
    <w:rsid w:val="00CC131D"/>
    <w:rsid w:val="00CC2327"/>
    <w:rsid w:val="00CC27BA"/>
    <w:rsid w:val="00CC5827"/>
    <w:rsid w:val="00CC5D6E"/>
    <w:rsid w:val="00CC6D95"/>
    <w:rsid w:val="00CC7149"/>
    <w:rsid w:val="00CD12F8"/>
    <w:rsid w:val="00CD218F"/>
    <w:rsid w:val="00CD2B59"/>
    <w:rsid w:val="00CD3C73"/>
    <w:rsid w:val="00CD3D3E"/>
    <w:rsid w:val="00CD56F6"/>
    <w:rsid w:val="00CD6C83"/>
    <w:rsid w:val="00CD7579"/>
    <w:rsid w:val="00CE117B"/>
    <w:rsid w:val="00CE18C0"/>
    <w:rsid w:val="00CE1CD4"/>
    <w:rsid w:val="00CE7A80"/>
    <w:rsid w:val="00CF009B"/>
    <w:rsid w:val="00CF0C5F"/>
    <w:rsid w:val="00D00125"/>
    <w:rsid w:val="00D00A75"/>
    <w:rsid w:val="00D01F93"/>
    <w:rsid w:val="00D02FF3"/>
    <w:rsid w:val="00D032DA"/>
    <w:rsid w:val="00D0365A"/>
    <w:rsid w:val="00D039A8"/>
    <w:rsid w:val="00D03FF3"/>
    <w:rsid w:val="00D0453A"/>
    <w:rsid w:val="00D052B6"/>
    <w:rsid w:val="00D060EA"/>
    <w:rsid w:val="00D07293"/>
    <w:rsid w:val="00D07959"/>
    <w:rsid w:val="00D106A4"/>
    <w:rsid w:val="00D12ABB"/>
    <w:rsid w:val="00D13A7A"/>
    <w:rsid w:val="00D157B0"/>
    <w:rsid w:val="00D16A42"/>
    <w:rsid w:val="00D217DC"/>
    <w:rsid w:val="00D224FE"/>
    <w:rsid w:val="00D22FA2"/>
    <w:rsid w:val="00D23035"/>
    <w:rsid w:val="00D251AF"/>
    <w:rsid w:val="00D253EB"/>
    <w:rsid w:val="00D26230"/>
    <w:rsid w:val="00D27616"/>
    <w:rsid w:val="00D30959"/>
    <w:rsid w:val="00D31BC7"/>
    <w:rsid w:val="00D320A8"/>
    <w:rsid w:val="00D33B5F"/>
    <w:rsid w:val="00D35523"/>
    <w:rsid w:val="00D415CC"/>
    <w:rsid w:val="00D42202"/>
    <w:rsid w:val="00D4365A"/>
    <w:rsid w:val="00D4398C"/>
    <w:rsid w:val="00D45666"/>
    <w:rsid w:val="00D500EF"/>
    <w:rsid w:val="00D501CF"/>
    <w:rsid w:val="00D50215"/>
    <w:rsid w:val="00D514CB"/>
    <w:rsid w:val="00D522B2"/>
    <w:rsid w:val="00D52753"/>
    <w:rsid w:val="00D56F1F"/>
    <w:rsid w:val="00D57AA6"/>
    <w:rsid w:val="00D62523"/>
    <w:rsid w:val="00D6374E"/>
    <w:rsid w:val="00D64E55"/>
    <w:rsid w:val="00D65665"/>
    <w:rsid w:val="00D70D3B"/>
    <w:rsid w:val="00D8191F"/>
    <w:rsid w:val="00D82E78"/>
    <w:rsid w:val="00D877EF"/>
    <w:rsid w:val="00D900F5"/>
    <w:rsid w:val="00D92C18"/>
    <w:rsid w:val="00D94985"/>
    <w:rsid w:val="00D94BC5"/>
    <w:rsid w:val="00D96363"/>
    <w:rsid w:val="00DA00CD"/>
    <w:rsid w:val="00DA1C52"/>
    <w:rsid w:val="00DA531F"/>
    <w:rsid w:val="00DA6788"/>
    <w:rsid w:val="00DB0B69"/>
    <w:rsid w:val="00DB4E1F"/>
    <w:rsid w:val="00DB6F2E"/>
    <w:rsid w:val="00DB7E5A"/>
    <w:rsid w:val="00DC095C"/>
    <w:rsid w:val="00DD0EEC"/>
    <w:rsid w:val="00DD2ED3"/>
    <w:rsid w:val="00DD3602"/>
    <w:rsid w:val="00DD36B9"/>
    <w:rsid w:val="00DD597D"/>
    <w:rsid w:val="00DD6310"/>
    <w:rsid w:val="00DD6F82"/>
    <w:rsid w:val="00DE18C0"/>
    <w:rsid w:val="00DE4AC8"/>
    <w:rsid w:val="00DE73CA"/>
    <w:rsid w:val="00DF13B3"/>
    <w:rsid w:val="00DF24F1"/>
    <w:rsid w:val="00DF28DA"/>
    <w:rsid w:val="00DF3BD2"/>
    <w:rsid w:val="00DF40CF"/>
    <w:rsid w:val="00DF4B38"/>
    <w:rsid w:val="00DF7BA1"/>
    <w:rsid w:val="00E0062A"/>
    <w:rsid w:val="00E0456D"/>
    <w:rsid w:val="00E0605B"/>
    <w:rsid w:val="00E07722"/>
    <w:rsid w:val="00E10880"/>
    <w:rsid w:val="00E15405"/>
    <w:rsid w:val="00E163C2"/>
    <w:rsid w:val="00E20370"/>
    <w:rsid w:val="00E22153"/>
    <w:rsid w:val="00E307E0"/>
    <w:rsid w:val="00E32C48"/>
    <w:rsid w:val="00E353E0"/>
    <w:rsid w:val="00E354D8"/>
    <w:rsid w:val="00E4058F"/>
    <w:rsid w:val="00E43F6E"/>
    <w:rsid w:val="00E448A1"/>
    <w:rsid w:val="00E45C4B"/>
    <w:rsid w:val="00E51823"/>
    <w:rsid w:val="00E523E9"/>
    <w:rsid w:val="00E52EF3"/>
    <w:rsid w:val="00E556D1"/>
    <w:rsid w:val="00E57244"/>
    <w:rsid w:val="00E602C1"/>
    <w:rsid w:val="00E60C24"/>
    <w:rsid w:val="00E6240E"/>
    <w:rsid w:val="00E62989"/>
    <w:rsid w:val="00E6392C"/>
    <w:rsid w:val="00E640C4"/>
    <w:rsid w:val="00E64579"/>
    <w:rsid w:val="00E648F8"/>
    <w:rsid w:val="00E65BC1"/>
    <w:rsid w:val="00E66732"/>
    <w:rsid w:val="00E66B8A"/>
    <w:rsid w:val="00E67F46"/>
    <w:rsid w:val="00E702FE"/>
    <w:rsid w:val="00E716A7"/>
    <w:rsid w:val="00E73A10"/>
    <w:rsid w:val="00E762AB"/>
    <w:rsid w:val="00E76F91"/>
    <w:rsid w:val="00E86C0B"/>
    <w:rsid w:val="00E86CDF"/>
    <w:rsid w:val="00E906FB"/>
    <w:rsid w:val="00E9220F"/>
    <w:rsid w:val="00E93502"/>
    <w:rsid w:val="00E95FE8"/>
    <w:rsid w:val="00E96F2B"/>
    <w:rsid w:val="00EA2843"/>
    <w:rsid w:val="00EA500C"/>
    <w:rsid w:val="00EA5906"/>
    <w:rsid w:val="00EA60D7"/>
    <w:rsid w:val="00EA7D0A"/>
    <w:rsid w:val="00EB0DF3"/>
    <w:rsid w:val="00EB1344"/>
    <w:rsid w:val="00EB19C6"/>
    <w:rsid w:val="00EB4141"/>
    <w:rsid w:val="00EB73B6"/>
    <w:rsid w:val="00EC0BBA"/>
    <w:rsid w:val="00EC2A46"/>
    <w:rsid w:val="00EC30C3"/>
    <w:rsid w:val="00EC362C"/>
    <w:rsid w:val="00ED1A49"/>
    <w:rsid w:val="00ED2BBA"/>
    <w:rsid w:val="00ED5678"/>
    <w:rsid w:val="00ED5751"/>
    <w:rsid w:val="00ED668E"/>
    <w:rsid w:val="00ED678D"/>
    <w:rsid w:val="00ED75FC"/>
    <w:rsid w:val="00ED7610"/>
    <w:rsid w:val="00EE3EBA"/>
    <w:rsid w:val="00EE70FC"/>
    <w:rsid w:val="00EF2882"/>
    <w:rsid w:val="00EF4845"/>
    <w:rsid w:val="00EF4F21"/>
    <w:rsid w:val="00EF558F"/>
    <w:rsid w:val="00EF593E"/>
    <w:rsid w:val="00EF5A9B"/>
    <w:rsid w:val="00EF6B00"/>
    <w:rsid w:val="00EF6DE6"/>
    <w:rsid w:val="00F00F8B"/>
    <w:rsid w:val="00F02B38"/>
    <w:rsid w:val="00F03D0E"/>
    <w:rsid w:val="00F07458"/>
    <w:rsid w:val="00F10128"/>
    <w:rsid w:val="00F1220C"/>
    <w:rsid w:val="00F1376E"/>
    <w:rsid w:val="00F21278"/>
    <w:rsid w:val="00F21B7D"/>
    <w:rsid w:val="00F233AC"/>
    <w:rsid w:val="00F2480C"/>
    <w:rsid w:val="00F2511D"/>
    <w:rsid w:val="00F253D7"/>
    <w:rsid w:val="00F255A7"/>
    <w:rsid w:val="00F263C5"/>
    <w:rsid w:val="00F32290"/>
    <w:rsid w:val="00F32A2A"/>
    <w:rsid w:val="00F3309E"/>
    <w:rsid w:val="00F352B2"/>
    <w:rsid w:val="00F40F2C"/>
    <w:rsid w:val="00F41DFB"/>
    <w:rsid w:val="00F43A1A"/>
    <w:rsid w:val="00F43C4B"/>
    <w:rsid w:val="00F46E65"/>
    <w:rsid w:val="00F477AF"/>
    <w:rsid w:val="00F50A04"/>
    <w:rsid w:val="00F51CE1"/>
    <w:rsid w:val="00F57474"/>
    <w:rsid w:val="00F578BD"/>
    <w:rsid w:val="00F63522"/>
    <w:rsid w:val="00F64F4F"/>
    <w:rsid w:val="00F64F55"/>
    <w:rsid w:val="00F65EB2"/>
    <w:rsid w:val="00F7454E"/>
    <w:rsid w:val="00F77A54"/>
    <w:rsid w:val="00F80066"/>
    <w:rsid w:val="00F8306E"/>
    <w:rsid w:val="00F87C2A"/>
    <w:rsid w:val="00F92386"/>
    <w:rsid w:val="00F938C5"/>
    <w:rsid w:val="00F969FE"/>
    <w:rsid w:val="00F97FFA"/>
    <w:rsid w:val="00FA09C1"/>
    <w:rsid w:val="00FA0C19"/>
    <w:rsid w:val="00FA10BD"/>
    <w:rsid w:val="00FA1BA6"/>
    <w:rsid w:val="00FA3033"/>
    <w:rsid w:val="00FA507B"/>
    <w:rsid w:val="00FA6130"/>
    <w:rsid w:val="00FA6E49"/>
    <w:rsid w:val="00FB2945"/>
    <w:rsid w:val="00FB3069"/>
    <w:rsid w:val="00FC2777"/>
    <w:rsid w:val="00FC5390"/>
    <w:rsid w:val="00FC5DE2"/>
    <w:rsid w:val="00FC7FA6"/>
    <w:rsid w:val="00FD0F09"/>
    <w:rsid w:val="00FD4FED"/>
    <w:rsid w:val="00FE33A2"/>
    <w:rsid w:val="00FF3ACE"/>
    <w:rsid w:val="00FF6A0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CDC4AD7-F54E-45A0-87AB-493D1E24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C18"/>
    <w:pPr>
      <w:spacing w:after="0" w:line="260" w:lineRule="atLeast"/>
    </w:pPr>
    <w:rPr>
      <w:color w:val="786E64" w:themeColor="accent2"/>
      <w:sz w:val="20"/>
    </w:rPr>
  </w:style>
  <w:style w:type="paragraph" w:styleId="Titre1">
    <w:name w:val="heading 1"/>
    <w:basedOn w:val="Normal"/>
    <w:next w:val="Normal"/>
    <w:link w:val="Titre1Car"/>
    <w:uiPriority w:val="9"/>
    <w:qFormat/>
    <w:rsid w:val="00FF3ACE"/>
    <w:pPr>
      <w:keepNext/>
      <w:keepLines/>
      <w:numPr>
        <w:numId w:val="1"/>
      </w:numPr>
      <w:spacing w:before="60" w:after="240" w:line="300" w:lineRule="atLeast"/>
      <w:outlineLvl w:val="0"/>
    </w:pPr>
    <w:rPr>
      <w:rFonts w:asciiTheme="majorHAnsi" w:eastAsiaTheme="majorEastAsia" w:hAnsiTheme="majorHAnsi" w:cstheme="majorBidi"/>
      <w:b/>
      <w:bCs/>
      <w:caps/>
      <w:sz w:val="24"/>
      <w:szCs w:val="28"/>
    </w:rPr>
  </w:style>
  <w:style w:type="paragraph" w:styleId="Titre2">
    <w:name w:val="heading 2"/>
    <w:basedOn w:val="Normal"/>
    <w:next w:val="Normal"/>
    <w:link w:val="Titre2Car"/>
    <w:uiPriority w:val="9"/>
    <w:qFormat/>
    <w:rsid w:val="008E1ACD"/>
    <w:pPr>
      <w:keepNext/>
      <w:keepLines/>
      <w:numPr>
        <w:ilvl w:val="1"/>
        <w:numId w:val="1"/>
      </w:numPr>
      <w:spacing w:after="120"/>
      <w:outlineLvl w:val="1"/>
    </w:pPr>
    <w:rPr>
      <w:rFonts w:asciiTheme="majorHAnsi" w:eastAsiaTheme="majorEastAsia" w:hAnsiTheme="majorHAnsi" w:cstheme="majorBidi"/>
      <w:bCs/>
      <w:sz w:val="22"/>
      <w:szCs w:val="26"/>
    </w:rPr>
  </w:style>
  <w:style w:type="paragraph" w:styleId="Titre3">
    <w:name w:val="heading 3"/>
    <w:basedOn w:val="Normal"/>
    <w:next w:val="Normal"/>
    <w:link w:val="Titre3Car"/>
    <w:uiPriority w:val="9"/>
    <w:semiHidden/>
    <w:qFormat/>
    <w:rsid w:val="008775F3"/>
    <w:pPr>
      <w:keepNext/>
      <w:keepLines/>
      <w:spacing w:before="200"/>
      <w:outlineLvl w:val="2"/>
    </w:pPr>
    <w:rPr>
      <w:rFonts w:asciiTheme="majorHAnsi" w:eastAsiaTheme="majorEastAsia" w:hAnsiTheme="majorHAnsi" w:cstheme="majorBidi"/>
      <w:b/>
      <w:bCs/>
      <w:color w:val="FFCD00" w:themeColor="accent1"/>
    </w:rPr>
  </w:style>
  <w:style w:type="paragraph" w:styleId="Titre4">
    <w:name w:val="heading 4"/>
    <w:basedOn w:val="Normal"/>
    <w:next w:val="Normal"/>
    <w:link w:val="Titre4Car"/>
    <w:uiPriority w:val="9"/>
    <w:semiHidden/>
    <w:qFormat/>
    <w:rsid w:val="008775F3"/>
    <w:pPr>
      <w:keepNext/>
      <w:keepLines/>
      <w:spacing w:before="200"/>
      <w:outlineLvl w:val="3"/>
    </w:pPr>
    <w:rPr>
      <w:rFonts w:asciiTheme="majorHAnsi" w:eastAsiaTheme="majorEastAsia" w:hAnsiTheme="majorHAnsi" w:cstheme="majorBidi"/>
      <w:b/>
      <w:bCs/>
      <w:i/>
      <w:iCs/>
      <w:color w:val="FFCD00" w:themeColor="accent1"/>
    </w:rPr>
  </w:style>
  <w:style w:type="paragraph" w:styleId="Titre5">
    <w:name w:val="heading 5"/>
    <w:basedOn w:val="Normal"/>
    <w:next w:val="Normal"/>
    <w:link w:val="Titre5Car"/>
    <w:uiPriority w:val="9"/>
    <w:semiHidden/>
    <w:qFormat/>
    <w:rsid w:val="008775F3"/>
    <w:pPr>
      <w:keepNext/>
      <w:keepLines/>
      <w:numPr>
        <w:ilvl w:val="4"/>
        <w:numId w:val="1"/>
      </w:numPr>
      <w:spacing w:before="200"/>
      <w:outlineLvl w:val="4"/>
    </w:pPr>
    <w:rPr>
      <w:rFonts w:asciiTheme="majorHAnsi" w:eastAsiaTheme="majorEastAsia" w:hAnsiTheme="majorHAnsi" w:cstheme="majorBidi"/>
      <w:color w:val="7F6600" w:themeColor="accent1" w:themeShade="7F"/>
    </w:rPr>
  </w:style>
  <w:style w:type="paragraph" w:styleId="Titre6">
    <w:name w:val="heading 6"/>
    <w:basedOn w:val="Normal"/>
    <w:next w:val="Normal"/>
    <w:link w:val="Titre6Car"/>
    <w:uiPriority w:val="9"/>
    <w:semiHidden/>
    <w:qFormat/>
    <w:rsid w:val="008775F3"/>
    <w:pPr>
      <w:keepNext/>
      <w:keepLines/>
      <w:numPr>
        <w:ilvl w:val="5"/>
        <w:numId w:val="1"/>
      </w:numPr>
      <w:spacing w:before="200"/>
      <w:outlineLvl w:val="5"/>
    </w:pPr>
    <w:rPr>
      <w:rFonts w:asciiTheme="majorHAnsi" w:eastAsiaTheme="majorEastAsia" w:hAnsiTheme="majorHAnsi" w:cstheme="majorBidi"/>
      <w:i/>
      <w:iCs/>
      <w:color w:val="7F6600" w:themeColor="accent1" w:themeShade="7F"/>
    </w:rPr>
  </w:style>
  <w:style w:type="paragraph" w:styleId="Titre7">
    <w:name w:val="heading 7"/>
    <w:basedOn w:val="Normal"/>
    <w:next w:val="Normal"/>
    <w:link w:val="Titre7Car"/>
    <w:uiPriority w:val="9"/>
    <w:semiHidden/>
    <w:qFormat/>
    <w:rsid w:val="008775F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qFormat/>
    <w:rsid w:val="008775F3"/>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qFormat/>
    <w:rsid w:val="008775F3"/>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after="0" w:line="240" w:lineRule="exact"/>
    </w:pPr>
    <w:rPr>
      <w:sz w:val="20"/>
    </w:rPr>
  </w:style>
  <w:style w:type="character" w:customStyle="1" w:styleId="En-tteCar">
    <w:name w:val="En-tête Car"/>
    <w:basedOn w:val="Policepardfaut"/>
    <w:link w:val="En-tte"/>
    <w:uiPriority w:val="99"/>
    <w:rsid w:val="00D500EF"/>
    <w:rPr>
      <w:sz w:val="20"/>
    </w:rPr>
  </w:style>
  <w:style w:type="paragraph" w:styleId="Pieddepage">
    <w:name w:val="footer"/>
    <w:link w:val="PieddepageCar"/>
    <w:uiPriority w:val="99"/>
    <w:rsid w:val="00D500EF"/>
    <w:pPr>
      <w:spacing w:after="0" w:line="240" w:lineRule="exact"/>
    </w:pPr>
    <w:rPr>
      <w:sz w:val="20"/>
    </w:rPr>
  </w:style>
  <w:style w:type="character" w:customStyle="1" w:styleId="PieddepageCar">
    <w:name w:val="Pied de page Car"/>
    <w:basedOn w:val="Policepardfaut"/>
    <w:link w:val="Pieddepage"/>
    <w:uiPriority w:val="99"/>
    <w:rsid w:val="00D500EF"/>
    <w:rPr>
      <w:sz w:val="20"/>
    </w:rPr>
  </w:style>
  <w:style w:type="paragraph" w:styleId="Textedebulles">
    <w:name w:val="Balloon Text"/>
    <w:basedOn w:val="Normal"/>
    <w:link w:val="TextedebullesCar"/>
    <w:uiPriority w:val="99"/>
    <w:semiHidden/>
    <w:rsid w:val="00F41D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DFB"/>
    <w:rPr>
      <w:rFonts w:ascii="Tahoma" w:hAnsi="Tahoma" w:cs="Tahoma"/>
      <w:sz w:val="16"/>
      <w:szCs w:val="16"/>
    </w:rPr>
  </w:style>
  <w:style w:type="table" w:styleId="Grilledutableau">
    <w:name w:val="Table Grid"/>
    <w:basedOn w:val="TableauNormal"/>
    <w:uiPriority w:val="59"/>
    <w:rsid w:val="00F4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udocument">
    <w:name w:val="Nom du document"/>
    <w:qFormat/>
    <w:rsid w:val="002038EE"/>
    <w:pPr>
      <w:framePr w:w="3402" w:h="907" w:wrap="notBeside" w:vAnchor="page" w:hAnchor="page" w:x="7349" w:y="735" w:anchorLock="1"/>
      <w:spacing w:after="0" w:line="420" w:lineRule="atLeast"/>
    </w:pPr>
    <w:rPr>
      <w:rFonts w:ascii="Impact" w:hAnsi="Impact"/>
      <w:caps/>
      <w:color w:val="786E64" w:themeColor="accent2"/>
      <w:sz w:val="32"/>
    </w:rPr>
  </w:style>
  <w:style w:type="paragraph" w:customStyle="1" w:styleId="Titredelanoteinterne">
    <w:name w:val="Titre de la note interne"/>
    <w:qFormat/>
    <w:rsid w:val="00562662"/>
    <w:pPr>
      <w:spacing w:after="120" w:line="400" w:lineRule="atLeast"/>
    </w:pPr>
    <w:rPr>
      <w:rFonts w:ascii="Impact" w:hAnsi="Impact"/>
      <w:caps/>
      <w:color w:val="FFCD00" w:themeColor="accent1"/>
      <w:sz w:val="36"/>
    </w:rPr>
  </w:style>
  <w:style w:type="character" w:customStyle="1" w:styleId="Titredelanoteinternegris">
    <w:name w:val="Titre de la note interne gris"/>
    <w:basedOn w:val="Policepardfaut"/>
    <w:uiPriority w:val="1"/>
    <w:qFormat/>
    <w:rsid w:val="00782004"/>
    <w:rPr>
      <w:color w:val="786E64" w:themeColor="accent2"/>
    </w:rPr>
  </w:style>
  <w:style w:type="paragraph" w:customStyle="1" w:styleId="Sous-titredudocument">
    <w:name w:val="Sous-titre du document"/>
    <w:qFormat/>
    <w:rsid w:val="00F578BD"/>
    <w:pPr>
      <w:spacing w:after="0" w:line="400" w:lineRule="atLeast"/>
    </w:pPr>
    <w:rPr>
      <w:rFonts w:asciiTheme="majorHAnsi" w:hAnsiTheme="majorHAnsi"/>
      <w:b/>
      <w:color w:val="786E64" w:themeColor="accent2"/>
      <w:sz w:val="32"/>
    </w:rPr>
  </w:style>
  <w:style w:type="paragraph" w:customStyle="1" w:styleId="Chapeau">
    <w:name w:val="Chapeau"/>
    <w:qFormat/>
    <w:rsid w:val="00782004"/>
    <w:pPr>
      <w:spacing w:after="0" w:line="260" w:lineRule="atLeast"/>
    </w:pPr>
    <w:rPr>
      <w:b/>
      <w:color w:val="786E64" w:themeColor="accent2"/>
      <w:sz w:val="20"/>
    </w:rPr>
  </w:style>
  <w:style w:type="paragraph" w:customStyle="1" w:styleId="PrnomNomdate">
    <w:name w:val="Prénom Nom &amp; date"/>
    <w:qFormat/>
    <w:rsid w:val="00782004"/>
    <w:pPr>
      <w:spacing w:after="0" w:line="260" w:lineRule="atLeast"/>
    </w:pPr>
    <w:rPr>
      <w:color w:val="786E64" w:themeColor="accent2"/>
      <w:sz w:val="18"/>
    </w:rPr>
  </w:style>
  <w:style w:type="character" w:customStyle="1" w:styleId="Titre1Car">
    <w:name w:val="Titre 1 Car"/>
    <w:basedOn w:val="Policepardfaut"/>
    <w:link w:val="Titre1"/>
    <w:uiPriority w:val="9"/>
    <w:rsid w:val="00FF3ACE"/>
    <w:rPr>
      <w:rFonts w:asciiTheme="majorHAnsi" w:eastAsiaTheme="majorEastAsia" w:hAnsiTheme="majorHAnsi" w:cstheme="majorBidi"/>
      <w:b/>
      <w:bCs/>
      <w:caps/>
      <w:color w:val="786E64" w:themeColor="accent2"/>
      <w:sz w:val="24"/>
      <w:szCs w:val="28"/>
    </w:rPr>
  </w:style>
  <w:style w:type="paragraph" w:customStyle="1" w:styleId="Puce1">
    <w:name w:val="Puce 1"/>
    <w:basedOn w:val="Normal"/>
    <w:qFormat/>
    <w:rsid w:val="004C7BFB"/>
    <w:pPr>
      <w:numPr>
        <w:numId w:val="3"/>
      </w:numPr>
      <w:ind w:left="340" w:hanging="340"/>
    </w:pPr>
  </w:style>
  <w:style w:type="paragraph" w:customStyle="1" w:styleId="Puce2">
    <w:name w:val="Puce 2"/>
    <w:basedOn w:val="Normal"/>
    <w:qFormat/>
    <w:rsid w:val="004C7BFB"/>
    <w:pPr>
      <w:numPr>
        <w:ilvl w:val="1"/>
        <w:numId w:val="3"/>
      </w:numPr>
      <w:ind w:left="680" w:hanging="340"/>
    </w:pPr>
  </w:style>
  <w:style w:type="paragraph" w:customStyle="1" w:styleId="Puce3">
    <w:name w:val="Puce 3"/>
    <w:basedOn w:val="Normal"/>
    <w:qFormat/>
    <w:rsid w:val="004C7BFB"/>
    <w:pPr>
      <w:numPr>
        <w:ilvl w:val="2"/>
        <w:numId w:val="3"/>
      </w:numPr>
    </w:pPr>
  </w:style>
  <w:style w:type="character" w:customStyle="1" w:styleId="Titre2Car">
    <w:name w:val="Titre 2 Car"/>
    <w:basedOn w:val="Policepardfaut"/>
    <w:link w:val="Titre2"/>
    <w:uiPriority w:val="9"/>
    <w:rsid w:val="008E1ACD"/>
    <w:rPr>
      <w:rFonts w:asciiTheme="majorHAnsi" w:eastAsiaTheme="majorEastAsia" w:hAnsiTheme="majorHAnsi" w:cstheme="majorBidi"/>
      <w:bCs/>
      <w:color w:val="786E64" w:themeColor="accent2"/>
      <w:szCs w:val="26"/>
    </w:rPr>
  </w:style>
  <w:style w:type="character" w:customStyle="1" w:styleId="Titre3Car">
    <w:name w:val="Titre 3 Car"/>
    <w:basedOn w:val="Policepardfaut"/>
    <w:link w:val="Titre3"/>
    <w:uiPriority w:val="9"/>
    <w:semiHidden/>
    <w:rsid w:val="008775F3"/>
    <w:rPr>
      <w:rFonts w:asciiTheme="majorHAnsi" w:eastAsiaTheme="majorEastAsia" w:hAnsiTheme="majorHAnsi" w:cstheme="majorBidi"/>
      <w:b/>
      <w:bCs/>
      <w:color w:val="FFCD00" w:themeColor="accent1"/>
      <w:sz w:val="20"/>
    </w:rPr>
  </w:style>
  <w:style w:type="character" w:customStyle="1" w:styleId="Titre4Car">
    <w:name w:val="Titre 4 Car"/>
    <w:basedOn w:val="Policepardfaut"/>
    <w:link w:val="Titre4"/>
    <w:uiPriority w:val="9"/>
    <w:semiHidden/>
    <w:rsid w:val="008775F3"/>
    <w:rPr>
      <w:rFonts w:asciiTheme="majorHAnsi" w:eastAsiaTheme="majorEastAsia" w:hAnsiTheme="majorHAnsi" w:cstheme="majorBidi"/>
      <w:b/>
      <w:bCs/>
      <w:i/>
      <w:iCs/>
      <w:color w:val="FFCD00" w:themeColor="accent1"/>
      <w:sz w:val="20"/>
    </w:rPr>
  </w:style>
  <w:style w:type="character" w:customStyle="1" w:styleId="Titre5Car">
    <w:name w:val="Titre 5 Car"/>
    <w:basedOn w:val="Policepardfaut"/>
    <w:link w:val="Titre5"/>
    <w:uiPriority w:val="9"/>
    <w:semiHidden/>
    <w:rsid w:val="008775F3"/>
    <w:rPr>
      <w:rFonts w:asciiTheme="majorHAnsi" w:eastAsiaTheme="majorEastAsia" w:hAnsiTheme="majorHAnsi" w:cstheme="majorBidi"/>
      <w:color w:val="7F6600" w:themeColor="accent1" w:themeShade="7F"/>
      <w:sz w:val="20"/>
    </w:rPr>
  </w:style>
  <w:style w:type="character" w:customStyle="1" w:styleId="Titre6Car">
    <w:name w:val="Titre 6 Car"/>
    <w:basedOn w:val="Policepardfaut"/>
    <w:link w:val="Titre6"/>
    <w:uiPriority w:val="9"/>
    <w:semiHidden/>
    <w:rsid w:val="008775F3"/>
    <w:rPr>
      <w:rFonts w:asciiTheme="majorHAnsi" w:eastAsiaTheme="majorEastAsia" w:hAnsiTheme="majorHAnsi" w:cstheme="majorBidi"/>
      <w:i/>
      <w:iCs/>
      <w:color w:val="7F6600" w:themeColor="accent1" w:themeShade="7F"/>
      <w:sz w:val="20"/>
    </w:rPr>
  </w:style>
  <w:style w:type="character" w:customStyle="1" w:styleId="Titre7Car">
    <w:name w:val="Titre 7 Car"/>
    <w:basedOn w:val="Policepardfaut"/>
    <w:link w:val="Titre7"/>
    <w:uiPriority w:val="9"/>
    <w:semiHidden/>
    <w:rsid w:val="008775F3"/>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8775F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775F3"/>
    <w:rPr>
      <w:rFonts w:asciiTheme="majorHAnsi" w:eastAsiaTheme="majorEastAsia" w:hAnsiTheme="majorHAnsi" w:cstheme="majorBidi"/>
      <w:i/>
      <w:iCs/>
      <w:color w:val="404040" w:themeColor="text1" w:themeTint="BF"/>
      <w:sz w:val="20"/>
      <w:szCs w:val="20"/>
    </w:rPr>
  </w:style>
  <w:style w:type="paragraph" w:customStyle="1" w:styleId="Texteencart">
    <w:name w:val="Texte encart"/>
    <w:qFormat/>
    <w:rsid w:val="00241A18"/>
    <w:pPr>
      <w:pBdr>
        <w:top w:val="single" w:sz="48" w:space="1" w:color="FFCD00" w:themeColor="accent1"/>
        <w:left w:val="single" w:sz="48" w:space="4" w:color="FFCD00" w:themeColor="accent1"/>
        <w:bottom w:val="single" w:sz="48" w:space="1" w:color="FFCD00" w:themeColor="accent1"/>
        <w:right w:val="single" w:sz="48" w:space="4" w:color="FFCD00" w:themeColor="accent1"/>
      </w:pBdr>
      <w:shd w:val="clear" w:color="auto" w:fill="FFCD00" w:themeFill="accent1"/>
      <w:spacing w:after="0" w:line="260" w:lineRule="atLeast"/>
      <w:ind w:left="227" w:right="227"/>
    </w:pPr>
    <w:rPr>
      <w:color w:val="786E64" w:themeColor="accent2"/>
      <w:sz w:val="20"/>
    </w:rPr>
  </w:style>
  <w:style w:type="paragraph" w:customStyle="1" w:styleId="Titreencart">
    <w:name w:val="Titre encart"/>
    <w:qFormat/>
    <w:rsid w:val="00F578BD"/>
    <w:pPr>
      <w:pBdr>
        <w:top w:val="single" w:sz="48" w:space="1" w:color="FFCD00" w:themeColor="accent1"/>
        <w:left w:val="single" w:sz="48" w:space="4" w:color="FFCD00" w:themeColor="accent1"/>
        <w:bottom w:val="single" w:sz="48" w:space="1" w:color="FFCD00" w:themeColor="accent1"/>
        <w:right w:val="single" w:sz="48" w:space="4" w:color="FFCD00" w:themeColor="accent1"/>
      </w:pBdr>
      <w:shd w:val="clear" w:color="auto" w:fill="FFCD00" w:themeFill="accent1"/>
      <w:spacing w:after="0" w:line="260" w:lineRule="atLeast"/>
      <w:ind w:left="227" w:right="227"/>
    </w:pPr>
    <w:rPr>
      <w:rFonts w:asciiTheme="majorHAnsi" w:hAnsiTheme="majorHAnsi"/>
      <w:b/>
      <w:color w:val="786E64" w:themeColor="accent2"/>
      <w:sz w:val="24"/>
    </w:rPr>
  </w:style>
  <w:style w:type="paragraph" w:customStyle="1" w:styleId="Textecontact">
    <w:name w:val="Texte contact"/>
    <w:qFormat/>
    <w:rsid w:val="004B1052"/>
    <w:pPr>
      <w:spacing w:after="0" w:line="200" w:lineRule="atLeast"/>
    </w:pPr>
    <w:rPr>
      <w:color w:val="786E64" w:themeColor="accent2"/>
      <w:sz w:val="16"/>
    </w:rPr>
  </w:style>
  <w:style w:type="character" w:customStyle="1" w:styleId="Textebold">
    <w:name w:val="Texte bold"/>
    <w:basedOn w:val="Policepardfaut"/>
    <w:uiPriority w:val="1"/>
    <w:qFormat/>
    <w:rsid w:val="004B1052"/>
    <w:rPr>
      <w:b/>
    </w:rPr>
  </w:style>
  <w:style w:type="paragraph" w:customStyle="1" w:styleId="Titrecontact">
    <w:name w:val="Titre contact"/>
    <w:basedOn w:val="Normal"/>
    <w:qFormat/>
    <w:rsid w:val="00DB4E1F"/>
    <w:pPr>
      <w:spacing w:line="240" w:lineRule="atLeast"/>
    </w:pPr>
    <w:rPr>
      <w:b/>
      <w:color w:val="FFCD00" w:themeColor="accent1"/>
    </w:rPr>
  </w:style>
  <w:style w:type="paragraph" w:customStyle="1" w:styleId="Textepieddepage">
    <w:name w:val="Texte pied de page"/>
    <w:basedOn w:val="Normal"/>
    <w:qFormat/>
    <w:rsid w:val="00F46E65"/>
    <w:pPr>
      <w:framePr w:w="10036" w:h="57" w:wrap="notBeside" w:vAnchor="page" w:hAnchor="margin" w:yAlign="bottom" w:anchorLock="1"/>
      <w:spacing w:line="180" w:lineRule="atLeast"/>
    </w:pPr>
    <w:rPr>
      <w:sz w:val="16"/>
    </w:rPr>
  </w:style>
  <w:style w:type="character" w:customStyle="1" w:styleId="Textecapital">
    <w:name w:val="Texte capital"/>
    <w:basedOn w:val="Policepardfaut"/>
    <w:uiPriority w:val="1"/>
    <w:qFormat/>
    <w:rsid w:val="00045539"/>
    <w:rPr>
      <w:caps/>
    </w:rPr>
  </w:style>
  <w:style w:type="paragraph" w:customStyle="1" w:styleId="Fonctionsignature">
    <w:name w:val="Fonction signature"/>
    <w:basedOn w:val="Normal"/>
    <w:qFormat/>
    <w:rsid w:val="0010136E"/>
    <w:pPr>
      <w:spacing w:after="40"/>
    </w:pPr>
  </w:style>
  <w:style w:type="paragraph" w:customStyle="1" w:styleId="Datedudocument">
    <w:name w:val="Date du document"/>
    <w:qFormat/>
    <w:rsid w:val="00562662"/>
    <w:pPr>
      <w:framePr w:w="3402" w:h="57" w:wrap="around" w:vAnchor="page" w:hAnchor="page" w:x="7089" w:y="2099" w:anchorLock="1"/>
      <w:spacing w:after="0" w:line="300" w:lineRule="atLeast"/>
    </w:pPr>
    <w:rPr>
      <w:rFonts w:ascii="Impact" w:hAnsi="Impact"/>
      <w:caps/>
      <w:color w:val="786E64" w:themeColor="accent2"/>
      <w:sz w:val="24"/>
    </w:rPr>
  </w:style>
  <w:style w:type="paragraph" w:customStyle="1" w:styleId="PrnomNomsignature">
    <w:name w:val="Prénom Nom signature"/>
    <w:basedOn w:val="Normal"/>
    <w:qFormat/>
    <w:rsid w:val="00FA0C19"/>
    <w:pPr>
      <w:spacing w:line="200" w:lineRule="atLeast"/>
    </w:pPr>
    <w:rPr>
      <w:b/>
      <w:sz w:val="16"/>
    </w:rPr>
  </w:style>
  <w:style w:type="paragraph" w:customStyle="1" w:styleId="Adressemailsignature">
    <w:name w:val="Adresse mail signature"/>
    <w:basedOn w:val="PrnomNomsignature"/>
    <w:qFormat/>
    <w:rsid w:val="00FA0C19"/>
    <w:rPr>
      <w:b w:val="0"/>
    </w:rPr>
  </w:style>
  <w:style w:type="paragraph" w:customStyle="1" w:styleId="Titreducommuniqu">
    <w:name w:val="Titre du communiqué"/>
    <w:qFormat/>
    <w:rsid w:val="008E1ACD"/>
    <w:pPr>
      <w:spacing w:after="120" w:line="400" w:lineRule="atLeast"/>
    </w:pPr>
    <w:rPr>
      <w:rFonts w:ascii="Impact" w:hAnsi="Impact"/>
      <w:caps/>
      <w:color w:val="FFCD00" w:themeColor="accent1"/>
      <w:sz w:val="36"/>
    </w:rPr>
  </w:style>
  <w:style w:type="character" w:customStyle="1" w:styleId="Titreducommuniqugris">
    <w:name w:val="Titre du communiqué gris"/>
    <w:basedOn w:val="Policepardfaut"/>
    <w:uiPriority w:val="1"/>
    <w:qFormat/>
    <w:rsid w:val="008E1ACD"/>
    <w:rPr>
      <w:color w:val="786E64" w:themeColor="accent2"/>
    </w:rPr>
  </w:style>
  <w:style w:type="paragraph" w:customStyle="1" w:styleId="Titre1sansnumrotation">
    <w:name w:val="Titre 1 sans numérotation"/>
    <w:qFormat/>
    <w:rsid w:val="008E1ACD"/>
    <w:pPr>
      <w:numPr>
        <w:numId w:val="2"/>
      </w:numPr>
      <w:spacing w:before="60" w:after="240" w:line="300" w:lineRule="atLeast"/>
    </w:pPr>
    <w:rPr>
      <w:rFonts w:asciiTheme="majorHAnsi" w:eastAsiaTheme="majorEastAsia" w:hAnsiTheme="majorHAnsi" w:cstheme="majorBidi"/>
      <w:b/>
      <w:bCs/>
      <w:caps/>
      <w:color w:val="786E64" w:themeColor="accent2"/>
      <w:sz w:val="24"/>
      <w:szCs w:val="28"/>
    </w:rPr>
  </w:style>
  <w:style w:type="paragraph" w:customStyle="1" w:styleId="Titre2sansnumrotation">
    <w:name w:val="Titre 2 sans numérotation"/>
    <w:qFormat/>
    <w:rsid w:val="008E1ACD"/>
    <w:pPr>
      <w:numPr>
        <w:ilvl w:val="1"/>
        <w:numId w:val="2"/>
      </w:numPr>
      <w:spacing w:after="120" w:line="260" w:lineRule="atLeast"/>
    </w:pPr>
    <w:rPr>
      <w:rFonts w:asciiTheme="majorHAnsi" w:eastAsiaTheme="majorEastAsia" w:hAnsiTheme="majorHAnsi" w:cstheme="majorBidi"/>
      <w:bCs/>
      <w:color w:val="786E64" w:themeColor="accent2"/>
      <w:szCs w:val="26"/>
    </w:rPr>
  </w:style>
  <w:style w:type="paragraph" w:styleId="Notedebasdepage">
    <w:name w:val="footnote text"/>
    <w:aliases w:val="Schriftart: 9 pt,Schriftart: 10 pt,Schriftart: 8 pt,WB-Fußnotentext,FoodNote,ft,Footnote text,Footnote,Footnote Text Char1,Footnote Text Char Char,Footnote Text Char1 Char Char,Footnote Text Char Char Char Char,f,fn,Schriftart: 10"/>
    <w:basedOn w:val="Normal"/>
    <w:link w:val="NotedebasdepageCar"/>
    <w:rsid w:val="00CD7579"/>
    <w:pPr>
      <w:spacing w:line="240" w:lineRule="auto"/>
    </w:pPr>
    <w:rPr>
      <w:szCs w:val="20"/>
    </w:rPr>
  </w:style>
  <w:style w:type="character" w:customStyle="1" w:styleId="NotedebasdepageCar">
    <w:name w:val="Note de bas de page Car"/>
    <w:aliases w:val="Schriftart: 9 pt Car,Schriftart: 10 pt Car,Schriftart: 8 pt Car,WB-Fußnotentext Car,FoodNote Car,ft Car,Footnote text Car,Footnote Car,Footnote Text Char1 Car,Footnote Text Char Char Car,Footnote Text Char1 Char Char Car,f Car"/>
    <w:basedOn w:val="Policepardfaut"/>
    <w:link w:val="Notedebasdepage"/>
    <w:rsid w:val="00CD7579"/>
    <w:rPr>
      <w:color w:val="786E64" w:themeColor="accent2"/>
      <w:sz w:val="20"/>
      <w:szCs w:val="20"/>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R"/>
    <w:basedOn w:val="Policepardfaut"/>
    <w:uiPriority w:val="99"/>
    <w:rsid w:val="00CD7579"/>
    <w:rPr>
      <w:vertAlign w:val="superscript"/>
    </w:rPr>
  </w:style>
  <w:style w:type="paragraph" w:styleId="Paragraphedeliste">
    <w:name w:val="List Paragraph"/>
    <w:basedOn w:val="Normal"/>
    <w:link w:val="ParagraphedelisteCar"/>
    <w:uiPriority w:val="34"/>
    <w:qFormat/>
    <w:rsid w:val="0068722E"/>
    <w:pPr>
      <w:ind w:left="720"/>
      <w:contextualSpacing/>
    </w:pPr>
  </w:style>
  <w:style w:type="character" w:styleId="Marquedecommentaire">
    <w:name w:val="annotation reference"/>
    <w:basedOn w:val="Policepardfaut"/>
    <w:uiPriority w:val="99"/>
    <w:semiHidden/>
    <w:rsid w:val="008718AE"/>
    <w:rPr>
      <w:sz w:val="16"/>
      <w:szCs w:val="16"/>
    </w:rPr>
  </w:style>
  <w:style w:type="paragraph" w:styleId="Commentaire">
    <w:name w:val="annotation text"/>
    <w:basedOn w:val="Normal"/>
    <w:link w:val="CommentaireCar"/>
    <w:uiPriority w:val="99"/>
    <w:semiHidden/>
    <w:rsid w:val="008718AE"/>
    <w:pPr>
      <w:spacing w:line="240" w:lineRule="auto"/>
    </w:pPr>
    <w:rPr>
      <w:szCs w:val="20"/>
    </w:rPr>
  </w:style>
  <w:style w:type="character" w:customStyle="1" w:styleId="CommentaireCar">
    <w:name w:val="Commentaire Car"/>
    <w:basedOn w:val="Policepardfaut"/>
    <w:link w:val="Commentaire"/>
    <w:uiPriority w:val="99"/>
    <w:semiHidden/>
    <w:rsid w:val="008718AE"/>
    <w:rPr>
      <w:color w:val="786E64" w:themeColor="accent2"/>
      <w:sz w:val="20"/>
      <w:szCs w:val="20"/>
    </w:rPr>
  </w:style>
  <w:style w:type="paragraph" w:styleId="Objetducommentaire">
    <w:name w:val="annotation subject"/>
    <w:basedOn w:val="Commentaire"/>
    <w:next w:val="Commentaire"/>
    <w:link w:val="ObjetducommentaireCar"/>
    <w:uiPriority w:val="99"/>
    <w:semiHidden/>
    <w:rsid w:val="008718AE"/>
    <w:rPr>
      <w:b/>
      <w:bCs/>
    </w:rPr>
  </w:style>
  <w:style w:type="character" w:customStyle="1" w:styleId="ObjetducommentaireCar">
    <w:name w:val="Objet du commentaire Car"/>
    <w:basedOn w:val="CommentaireCar"/>
    <w:link w:val="Objetducommentaire"/>
    <w:uiPriority w:val="99"/>
    <w:semiHidden/>
    <w:rsid w:val="008718AE"/>
    <w:rPr>
      <w:b/>
      <w:bCs/>
      <w:color w:val="786E64" w:themeColor="accent2"/>
      <w:sz w:val="20"/>
      <w:szCs w:val="20"/>
    </w:rPr>
  </w:style>
  <w:style w:type="table" w:customStyle="1" w:styleId="Bpifrance">
    <w:name w:val="Bpifrance"/>
    <w:basedOn w:val="Listeclaire-Accent2"/>
    <w:uiPriority w:val="99"/>
    <w:qFormat/>
    <w:rsid w:val="00582437"/>
    <w:tblPr/>
    <w:tblStylePr w:type="firstRow">
      <w:pPr>
        <w:spacing w:before="0" w:after="0" w:line="240" w:lineRule="auto"/>
      </w:pPr>
      <w:rPr>
        <w:b/>
        <w:bCs/>
        <w:color w:val="FFFFFF" w:themeColor="background1"/>
      </w:rPr>
      <w:tblPr/>
      <w:tcPr>
        <w:tcBorders>
          <w:top w:val="single" w:sz="4" w:space="0" w:color="786E64" w:themeColor="accent2"/>
          <w:left w:val="nil"/>
          <w:bottom w:val="single" w:sz="4" w:space="0" w:color="786E64" w:themeColor="accent2"/>
          <w:right w:val="nil"/>
          <w:insideH w:val="nil"/>
          <w:insideV w:val="single" w:sz="4" w:space="0" w:color="786E64" w:themeColor="accent2"/>
          <w:tl2br w:val="nil"/>
          <w:tr2bl w:val="nil"/>
        </w:tcBorders>
        <w:shd w:val="clear" w:color="auto" w:fill="FFCD00" w:themeFill="accent1"/>
      </w:tcPr>
    </w:tblStylePr>
    <w:tblStylePr w:type="lastRow">
      <w:pPr>
        <w:wordWrap/>
        <w:spacing w:before="0" w:after="0" w:line="240" w:lineRule="auto"/>
      </w:pPr>
      <w:rPr>
        <w:b/>
        <w:bCs/>
      </w:rPr>
      <w:tblPr/>
      <w:tcPr>
        <w:tcBorders>
          <w:top w:val="single" w:sz="4" w:space="0" w:color="786E64" w:themeColor="accent2"/>
          <w:left w:val="nil"/>
          <w:bottom w:val="single" w:sz="4" w:space="0" w:color="786E64" w:themeColor="accent2"/>
          <w:right w:val="nil"/>
          <w:insideH w:val="nil"/>
          <w:insideV w:val="nil"/>
          <w:tl2br w:val="nil"/>
          <w:tr2bl w:val="nil"/>
        </w:tcBorders>
      </w:tcPr>
    </w:tblStylePr>
    <w:tblStylePr w:type="firstCol">
      <w:rPr>
        <w:b/>
        <w:bCs/>
      </w:rPr>
      <w:tblPr/>
      <w:tcPr>
        <w:tcBorders>
          <w:top w:val="single" w:sz="4" w:space="0" w:color="786E64" w:themeColor="accent2"/>
          <w:left w:val="nil"/>
          <w:bottom w:val="single" w:sz="4" w:space="0" w:color="786E64" w:themeColor="accent2"/>
          <w:right w:val="nil"/>
          <w:insideH w:val="nil"/>
          <w:insideV w:val="nil"/>
          <w:tl2br w:val="nil"/>
          <w:tr2bl w:val="nil"/>
        </w:tcBorders>
      </w:tcPr>
    </w:tblStylePr>
    <w:tblStylePr w:type="lastCol">
      <w:pPr>
        <w:wordWrap/>
        <w:jc w:val="center"/>
      </w:pPr>
      <w:rPr>
        <w:b w:val="0"/>
        <w:bCs/>
        <w:i w:val="0"/>
      </w:rPr>
      <w:tblPr/>
      <w:tcPr>
        <w:tcBorders>
          <w:top w:val="single" w:sz="4" w:space="0" w:color="786E64" w:themeColor="accent2"/>
          <w:left w:val="nil"/>
          <w:bottom w:val="single" w:sz="4" w:space="0" w:color="786E64" w:themeColor="accent2"/>
          <w:right w:val="nil"/>
          <w:insideH w:val="nil"/>
          <w:insideV w:val="nil"/>
          <w:tl2br w:val="nil"/>
          <w:tr2bl w:val="nil"/>
        </w:tcBorders>
      </w:tcPr>
    </w:tblStylePr>
    <w:tblStylePr w:type="band1Vert">
      <w:pPr>
        <w:wordWrap/>
        <w:jc w:val="center"/>
      </w:pPr>
      <w:tblPr/>
      <w:tcPr>
        <w:tcBorders>
          <w:top w:val="nil"/>
          <w:left w:val="single" w:sz="4" w:space="0" w:color="786E64" w:themeColor="accent2"/>
          <w:bottom w:val="nil"/>
          <w:right w:val="single" w:sz="4" w:space="0" w:color="786E64" w:themeColor="accent2"/>
          <w:insideH w:val="nil"/>
          <w:insideV w:val="nil"/>
          <w:tl2br w:val="nil"/>
          <w:tr2bl w:val="nil"/>
        </w:tcBorders>
      </w:tcPr>
    </w:tblStylePr>
    <w:tblStylePr w:type="band2Vert">
      <w:pPr>
        <w:wordWrap/>
        <w:jc w:val="center"/>
      </w:pPr>
      <w:tblPr/>
      <w:tcPr>
        <w:tcBorders>
          <w:top w:val="nil"/>
          <w:left w:val="single" w:sz="4" w:space="0" w:color="786E64" w:themeColor="accent2"/>
          <w:bottom w:val="nil"/>
          <w:right w:val="single" w:sz="4" w:space="0" w:color="786E64" w:themeColor="accent2"/>
          <w:insideH w:val="nil"/>
          <w:insideV w:val="nil"/>
          <w:tl2br w:val="nil"/>
          <w:tr2bl w:val="nil"/>
        </w:tcBorders>
      </w:tcPr>
    </w:tblStylePr>
    <w:tblStylePr w:type="band1Horz">
      <w:tblPr/>
      <w:tcPr>
        <w:tcBorders>
          <w:top w:val="single" w:sz="4" w:space="0" w:color="786E64" w:themeColor="accent2"/>
          <w:left w:val="nil"/>
          <w:bottom w:val="single" w:sz="4" w:space="0" w:color="786E64" w:themeColor="accent2"/>
          <w:right w:val="nil"/>
          <w:insideH w:val="nil"/>
          <w:insideV w:val="single" w:sz="4" w:space="0" w:color="786E64" w:themeColor="accent2"/>
          <w:tl2br w:val="nil"/>
          <w:tr2bl w:val="nil"/>
        </w:tcBorders>
      </w:tcPr>
    </w:tblStylePr>
    <w:tblStylePr w:type="band2Horz">
      <w:tblPr/>
      <w:tcPr>
        <w:tcBorders>
          <w:top w:val="single" w:sz="4" w:space="0" w:color="786E64" w:themeColor="accent2"/>
          <w:left w:val="nil"/>
          <w:bottom w:val="single" w:sz="4" w:space="0" w:color="786E64" w:themeColor="accent2"/>
          <w:right w:val="nil"/>
          <w:insideH w:val="nil"/>
          <w:insideV w:val="single" w:sz="4" w:space="0" w:color="786E64" w:themeColor="accent2"/>
          <w:tl2br w:val="nil"/>
          <w:tr2bl w:val="nil"/>
        </w:tcBorders>
      </w:tcPr>
    </w:tblStylePr>
    <w:tblStylePr w:type="neCell">
      <w:tblPr/>
      <w:tcPr>
        <w:tcBorders>
          <w:top w:val="single" w:sz="4" w:space="0" w:color="786E64" w:themeColor="accent2"/>
          <w:left w:val="nil"/>
          <w:bottom w:val="single" w:sz="4" w:space="0" w:color="786E64" w:themeColor="accent2"/>
          <w:right w:val="nil"/>
          <w:insideH w:val="nil"/>
          <w:insideV w:val="nil"/>
          <w:tl2br w:val="nil"/>
          <w:tr2bl w:val="nil"/>
        </w:tcBorders>
      </w:tcPr>
    </w:tblStylePr>
    <w:tblStylePr w:type="nwCell">
      <w:tblPr/>
      <w:tcPr>
        <w:tcBorders>
          <w:top w:val="single" w:sz="4" w:space="0" w:color="786E64" w:themeColor="accent2"/>
          <w:left w:val="nil"/>
          <w:bottom w:val="single" w:sz="4" w:space="0" w:color="786E64" w:themeColor="accent2"/>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Listeclaire-Accent2">
    <w:name w:val="Light List Accent 2"/>
    <w:basedOn w:val="TableauNormal"/>
    <w:uiPriority w:val="61"/>
    <w:rsid w:val="00582437"/>
    <w:pPr>
      <w:spacing w:after="0" w:line="240" w:lineRule="auto"/>
    </w:pPr>
    <w:tblPr>
      <w:tblStyleRowBandSize w:val="1"/>
      <w:tblStyleColBandSize w:val="1"/>
      <w:tblBorders>
        <w:top w:val="single" w:sz="8" w:space="0" w:color="786E64" w:themeColor="accent2"/>
        <w:left w:val="single" w:sz="8" w:space="0" w:color="786E64" w:themeColor="accent2"/>
        <w:bottom w:val="single" w:sz="8" w:space="0" w:color="786E64" w:themeColor="accent2"/>
        <w:right w:val="single" w:sz="8" w:space="0" w:color="786E64" w:themeColor="accent2"/>
      </w:tblBorders>
    </w:tblPr>
    <w:tblStylePr w:type="firstRow">
      <w:pPr>
        <w:spacing w:before="0" w:after="0" w:line="240" w:lineRule="auto"/>
      </w:pPr>
      <w:rPr>
        <w:b/>
        <w:bCs/>
        <w:color w:val="FFFFFF" w:themeColor="background1"/>
      </w:rPr>
      <w:tblPr/>
      <w:tcPr>
        <w:shd w:val="clear" w:color="auto" w:fill="786E64" w:themeFill="accent2"/>
      </w:tcPr>
    </w:tblStylePr>
    <w:tblStylePr w:type="lastRow">
      <w:pPr>
        <w:spacing w:before="0" w:after="0" w:line="240" w:lineRule="auto"/>
      </w:pPr>
      <w:rPr>
        <w:b/>
        <w:bCs/>
      </w:rPr>
      <w:tblPr/>
      <w:tcPr>
        <w:tcBorders>
          <w:top w:val="double" w:sz="6" w:space="0" w:color="786E64" w:themeColor="accent2"/>
          <w:left w:val="single" w:sz="8" w:space="0" w:color="786E64" w:themeColor="accent2"/>
          <w:bottom w:val="single" w:sz="8" w:space="0" w:color="786E64" w:themeColor="accent2"/>
          <w:right w:val="single" w:sz="8" w:space="0" w:color="786E64" w:themeColor="accent2"/>
        </w:tcBorders>
      </w:tcPr>
    </w:tblStylePr>
    <w:tblStylePr w:type="firstCol">
      <w:rPr>
        <w:b/>
        <w:bCs/>
      </w:rPr>
    </w:tblStylePr>
    <w:tblStylePr w:type="lastCol">
      <w:rPr>
        <w:b/>
        <w:bCs/>
      </w:rPr>
    </w:tblStylePr>
    <w:tblStylePr w:type="band1Vert">
      <w:tblPr/>
      <w:tcPr>
        <w:tcBorders>
          <w:top w:val="single" w:sz="8" w:space="0" w:color="786E64" w:themeColor="accent2"/>
          <w:left w:val="single" w:sz="8" w:space="0" w:color="786E64" w:themeColor="accent2"/>
          <w:bottom w:val="single" w:sz="8" w:space="0" w:color="786E64" w:themeColor="accent2"/>
          <w:right w:val="single" w:sz="8" w:space="0" w:color="786E64" w:themeColor="accent2"/>
        </w:tcBorders>
      </w:tcPr>
    </w:tblStylePr>
    <w:tblStylePr w:type="band1Horz">
      <w:tblPr/>
      <w:tcPr>
        <w:tcBorders>
          <w:top w:val="single" w:sz="8" w:space="0" w:color="786E64" w:themeColor="accent2"/>
          <w:left w:val="single" w:sz="8" w:space="0" w:color="786E64" w:themeColor="accent2"/>
          <w:bottom w:val="single" w:sz="8" w:space="0" w:color="786E64" w:themeColor="accent2"/>
          <w:right w:val="single" w:sz="8" w:space="0" w:color="786E64" w:themeColor="accent2"/>
        </w:tcBorders>
      </w:tcPr>
    </w:tblStylePr>
  </w:style>
  <w:style w:type="paragraph" w:styleId="Textebrut">
    <w:name w:val="Plain Text"/>
    <w:basedOn w:val="Normal"/>
    <w:link w:val="TextebrutCar"/>
    <w:uiPriority w:val="99"/>
    <w:semiHidden/>
    <w:unhideWhenUsed/>
    <w:rsid w:val="003D2FE5"/>
    <w:pPr>
      <w:spacing w:line="240" w:lineRule="auto"/>
    </w:pPr>
    <w:rPr>
      <w:rFonts w:ascii="Calibri" w:hAnsi="Calibri"/>
      <w:color w:val="auto"/>
      <w:sz w:val="22"/>
      <w:szCs w:val="21"/>
    </w:rPr>
  </w:style>
  <w:style w:type="character" w:customStyle="1" w:styleId="TextebrutCar">
    <w:name w:val="Texte brut Car"/>
    <w:basedOn w:val="Policepardfaut"/>
    <w:link w:val="Textebrut"/>
    <w:uiPriority w:val="99"/>
    <w:semiHidden/>
    <w:rsid w:val="003D2FE5"/>
    <w:rPr>
      <w:rFonts w:ascii="Calibri" w:hAnsi="Calibri"/>
      <w:szCs w:val="21"/>
    </w:rPr>
  </w:style>
  <w:style w:type="paragraph" w:customStyle="1" w:styleId="ndate">
    <w:name w:val="ndate"/>
    <w:basedOn w:val="Normal"/>
    <w:rsid w:val="00310D3F"/>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customStyle="1" w:styleId="st">
    <w:name w:val="st"/>
    <w:basedOn w:val="Policepardfaut"/>
    <w:rsid w:val="0056220D"/>
  </w:style>
  <w:style w:type="character" w:customStyle="1" w:styleId="grosbleuentete1">
    <w:name w:val="grosbleuentete1"/>
    <w:basedOn w:val="Policepardfaut"/>
    <w:rsid w:val="0056220D"/>
    <w:rPr>
      <w:color w:val="000099"/>
      <w:sz w:val="23"/>
      <w:szCs w:val="23"/>
    </w:rPr>
  </w:style>
  <w:style w:type="paragraph" w:styleId="NormalWeb">
    <w:name w:val="Normal (Web)"/>
    <w:basedOn w:val="Normal"/>
    <w:uiPriority w:val="99"/>
    <w:semiHidden/>
    <w:unhideWhenUsed/>
    <w:rsid w:val="001A2876"/>
    <w:pPr>
      <w:spacing w:before="100" w:beforeAutospacing="1" w:after="100" w:afterAutospacing="1" w:line="240" w:lineRule="auto"/>
    </w:pPr>
    <w:rPr>
      <w:rFonts w:ascii="Times New Roman" w:hAnsi="Times New Roman" w:cs="Times New Roman"/>
      <w:color w:val="auto"/>
      <w:sz w:val="24"/>
      <w:szCs w:val="24"/>
      <w:lang w:eastAsia="fr-FR"/>
    </w:rPr>
  </w:style>
  <w:style w:type="character" w:customStyle="1" w:styleId="ParagraphedelisteCar">
    <w:name w:val="Paragraphe de liste Car"/>
    <w:basedOn w:val="Policepardfaut"/>
    <w:link w:val="Paragraphedeliste"/>
    <w:uiPriority w:val="34"/>
    <w:locked/>
    <w:rsid w:val="005665F2"/>
    <w:rPr>
      <w:color w:val="786E64" w:themeColor="accent2"/>
      <w:sz w:val="20"/>
    </w:rPr>
  </w:style>
  <w:style w:type="character" w:customStyle="1" w:styleId="hps">
    <w:name w:val="hps"/>
    <w:rsid w:val="007649D1"/>
  </w:style>
  <w:style w:type="paragraph" w:customStyle="1" w:styleId="Default">
    <w:name w:val="Default"/>
    <w:rsid w:val="00B65481"/>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5D240A"/>
    <w:rPr>
      <w:strike w:val="0"/>
      <w:dstrike w:val="0"/>
      <w:color w:val="000000"/>
      <w:u w:val="none"/>
      <w:effect w:val="none"/>
      <w:shd w:val="clear" w:color="auto" w:fill="auto"/>
    </w:rPr>
  </w:style>
  <w:style w:type="character" w:styleId="lev">
    <w:name w:val="Strong"/>
    <w:basedOn w:val="Policepardfaut"/>
    <w:uiPriority w:val="22"/>
    <w:qFormat/>
    <w:rsid w:val="00DA6788"/>
    <w:rPr>
      <w:b/>
      <w:bCs/>
    </w:rPr>
  </w:style>
  <w:style w:type="character" w:customStyle="1" w:styleId="aa5f5ft2">
    <w:name w:val="a__a_5f__5f_t2"/>
    <w:basedOn w:val="Policepardfaut"/>
    <w:rsid w:val="00860365"/>
  </w:style>
  <w:style w:type="table" w:customStyle="1" w:styleId="Grilledutableau1">
    <w:name w:val="Grille du tableau1"/>
    <w:basedOn w:val="TableauNormal"/>
    <w:next w:val="Grilledutableau"/>
    <w:uiPriority w:val="59"/>
    <w:rsid w:val="0085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C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FC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semiHidden/>
    <w:unhideWhenUsed/>
    <w:rsid w:val="00006214"/>
    <w:pPr>
      <w:spacing w:line="240" w:lineRule="auto"/>
    </w:pPr>
    <w:rPr>
      <w:szCs w:val="20"/>
    </w:rPr>
  </w:style>
  <w:style w:type="character" w:customStyle="1" w:styleId="NotedefinCar">
    <w:name w:val="Note de fin Car"/>
    <w:basedOn w:val="Policepardfaut"/>
    <w:link w:val="Notedefin"/>
    <w:semiHidden/>
    <w:rsid w:val="00006214"/>
    <w:rPr>
      <w:color w:val="786E64" w:themeColor="accent2"/>
      <w:sz w:val="20"/>
      <w:szCs w:val="20"/>
    </w:rPr>
  </w:style>
  <w:style w:type="character" w:styleId="Appeldenotedefin">
    <w:name w:val="endnote reference"/>
    <w:basedOn w:val="Policepardfaut"/>
    <w:semiHidden/>
    <w:unhideWhenUsed/>
    <w:rsid w:val="00006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069">
      <w:bodyDiv w:val="1"/>
      <w:marLeft w:val="0"/>
      <w:marRight w:val="0"/>
      <w:marTop w:val="0"/>
      <w:marBottom w:val="0"/>
      <w:divBdr>
        <w:top w:val="none" w:sz="0" w:space="0" w:color="auto"/>
        <w:left w:val="none" w:sz="0" w:space="0" w:color="auto"/>
        <w:bottom w:val="none" w:sz="0" w:space="0" w:color="auto"/>
        <w:right w:val="none" w:sz="0" w:space="0" w:color="auto"/>
      </w:divBdr>
    </w:div>
    <w:div w:id="58288544">
      <w:bodyDiv w:val="1"/>
      <w:marLeft w:val="0"/>
      <w:marRight w:val="0"/>
      <w:marTop w:val="0"/>
      <w:marBottom w:val="0"/>
      <w:divBdr>
        <w:top w:val="none" w:sz="0" w:space="0" w:color="auto"/>
        <w:left w:val="none" w:sz="0" w:space="0" w:color="auto"/>
        <w:bottom w:val="none" w:sz="0" w:space="0" w:color="auto"/>
        <w:right w:val="none" w:sz="0" w:space="0" w:color="auto"/>
      </w:divBdr>
    </w:div>
    <w:div w:id="116919758">
      <w:bodyDiv w:val="1"/>
      <w:marLeft w:val="0"/>
      <w:marRight w:val="0"/>
      <w:marTop w:val="0"/>
      <w:marBottom w:val="0"/>
      <w:divBdr>
        <w:top w:val="none" w:sz="0" w:space="0" w:color="auto"/>
        <w:left w:val="none" w:sz="0" w:space="0" w:color="auto"/>
        <w:bottom w:val="none" w:sz="0" w:space="0" w:color="auto"/>
        <w:right w:val="none" w:sz="0" w:space="0" w:color="auto"/>
      </w:divBdr>
    </w:div>
    <w:div w:id="121657818">
      <w:bodyDiv w:val="1"/>
      <w:marLeft w:val="0"/>
      <w:marRight w:val="0"/>
      <w:marTop w:val="0"/>
      <w:marBottom w:val="0"/>
      <w:divBdr>
        <w:top w:val="none" w:sz="0" w:space="0" w:color="auto"/>
        <w:left w:val="none" w:sz="0" w:space="0" w:color="auto"/>
        <w:bottom w:val="none" w:sz="0" w:space="0" w:color="auto"/>
        <w:right w:val="none" w:sz="0" w:space="0" w:color="auto"/>
      </w:divBdr>
    </w:div>
    <w:div w:id="142355577">
      <w:bodyDiv w:val="1"/>
      <w:marLeft w:val="0"/>
      <w:marRight w:val="0"/>
      <w:marTop w:val="0"/>
      <w:marBottom w:val="0"/>
      <w:divBdr>
        <w:top w:val="none" w:sz="0" w:space="0" w:color="auto"/>
        <w:left w:val="none" w:sz="0" w:space="0" w:color="auto"/>
        <w:bottom w:val="none" w:sz="0" w:space="0" w:color="auto"/>
        <w:right w:val="none" w:sz="0" w:space="0" w:color="auto"/>
      </w:divBdr>
    </w:div>
    <w:div w:id="186875302">
      <w:bodyDiv w:val="1"/>
      <w:marLeft w:val="0"/>
      <w:marRight w:val="0"/>
      <w:marTop w:val="0"/>
      <w:marBottom w:val="0"/>
      <w:divBdr>
        <w:top w:val="none" w:sz="0" w:space="0" w:color="auto"/>
        <w:left w:val="none" w:sz="0" w:space="0" w:color="auto"/>
        <w:bottom w:val="none" w:sz="0" w:space="0" w:color="auto"/>
        <w:right w:val="none" w:sz="0" w:space="0" w:color="auto"/>
      </w:divBdr>
    </w:div>
    <w:div w:id="366030693">
      <w:bodyDiv w:val="1"/>
      <w:marLeft w:val="0"/>
      <w:marRight w:val="0"/>
      <w:marTop w:val="0"/>
      <w:marBottom w:val="0"/>
      <w:divBdr>
        <w:top w:val="none" w:sz="0" w:space="0" w:color="auto"/>
        <w:left w:val="none" w:sz="0" w:space="0" w:color="auto"/>
        <w:bottom w:val="none" w:sz="0" w:space="0" w:color="auto"/>
        <w:right w:val="none" w:sz="0" w:space="0" w:color="auto"/>
      </w:divBdr>
    </w:div>
    <w:div w:id="557664154">
      <w:bodyDiv w:val="1"/>
      <w:marLeft w:val="0"/>
      <w:marRight w:val="0"/>
      <w:marTop w:val="0"/>
      <w:marBottom w:val="0"/>
      <w:divBdr>
        <w:top w:val="none" w:sz="0" w:space="0" w:color="auto"/>
        <w:left w:val="none" w:sz="0" w:space="0" w:color="auto"/>
        <w:bottom w:val="none" w:sz="0" w:space="0" w:color="auto"/>
        <w:right w:val="none" w:sz="0" w:space="0" w:color="auto"/>
      </w:divBdr>
    </w:div>
    <w:div w:id="589586984">
      <w:bodyDiv w:val="1"/>
      <w:marLeft w:val="0"/>
      <w:marRight w:val="0"/>
      <w:marTop w:val="0"/>
      <w:marBottom w:val="0"/>
      <w:divBdr>
        <w:top w:val="none" w:sz="0" w:space="0" w:color="auto"/>
        <w:left w:val="none" w:sz="0" w:space="0" w:color="auto"/>
        <w:bottom w:val="none" w:sz="0" w:space="0" w:color="auto"/>
        <w:right w:val="none" w:sz="0" w:space="0" w:color="auto"/>
      </w:divBdr>
    </w:div>
    <w:div w:id="696126556">
      <w:bodyDiv w:val="1"/>
      <w:marLeft w:val="0"/>
      <w:marRight w:val="0"/>
      <w:marTop w:val="0"/>
      <w:marBottom w:val="0"/>
      <w:divBdr>
        <w:top w:val="none" w:sz="0" w:space="0" w:color="auto"/>
        <w:left w:val="none" w:sz="0" w:space="0" w:color="auto"/>
        <w:bottom w:val="none" w:sz="0" w:space="0" w:color="auto"/>
        <w:right w:val="none" w:sz="0" w:space="0" w:color="auto"/>
      </w:divBdr>
    </w:div>
    <w:div w:id="744186231">
      <w:bodyDiv w:val="1"/>
      <w:marLeft w:val="0"/>
      <w:marRight w:val="0"/>
      <w:marTop w:val="0"/>
      <w:marBottom w:val="0"/>
      <w:divBdr>
        <w:top w:val="none" w:sz="0" w:space="0" w:color="auto"/>
        <w:left w:val="none" w:sz="0" w:space="0" w:color="auto"/>
        <w:bottom w:val="none" w:sz="0" w:space="0" w:color="auto"/>
        <w:right w:val="none" w:sz="0" w:space="0" w:color="auto"/>
      </w:divBdr>
    </w:div>
    <w:div w:id="791217036">
      <w:bodyDiv w:val="1"/>
      <w:marLeft w:val="0"/>
      <w:marRight w:val="0"/>
      <w:marTop w:val="0"/>
      <w:marBottom w:val="0"/>
      <w:divBdr>
        <w:top w:val="none" w:sz="0" w:space="0" w:color="auto"/>
        <w:left w:val="none" w:sz="0" w:space="0" w:color="auto"/>
        <w:bottom w:val="none" w:sz="0" w:space="0" w:color="auto"/>
        <w:right w:val="none" w:sz="0" w:space="0" w:color="auto"/>
      </w:divBdr>
      <w:divsChild>
        <w:div w:id="282733828">
          <w:marLeft w:val="533"/>
          <w:marRight w:val="0"/>
          <w:marTop w:val="86"/>
          <w:marBottom w:val="0"/>
          <w:divBdr>
            <w:top w:val="none" w:sz="0" w:space="0" w:color="auto"/>
            <w:left w:val="none" w:sz="0" w:space="0" w:color="auto"/>
            <w:bottom w:val="none" w:sz="0" w:space="0" w:color="auto"/>
            <w:right w:val="none" w:sz="0" w:space="0" w:color="auto"/>
          </w:divBdr>
        </w:div>
        <w:div w:id="383452437">
          <w:marLeft w:val="533"/>
          <w:marRight w:val="0"/>
          <w:marTop w:val="86"/>
          <w:marBottom w:val="0"/>
          <w:divBdr>
            <w:top w:val="none" w:sz="0" w:space="0" w:color="auto"/>
            <w:left w:val="none" w:sz="0" w:space="0" w:color="auto"/>
            <w:bottom w:val="none" w:sz="0" w:space="0" w:color="auto"/>
            <w:right w:val="none" w:sz="0" w:space="0" w:color="auto"/>
          </w:divBdr>
        </w:div>
        <w:div w:id="321393606">
          <w:marLeft w:val="533"/>
          <w:marRight w:val="0"/>
          <w:marTop w:val="86"/>
          <w:marBottom w:val="0"/>
          <w:divBdr>
            <w:top w:val="none" w:sz="0" w:space="0" w:color="auto"/>
            <w:left w:val="none" w:sz="0" w:space="0" w:color="auto"/>
            <w:bottom w:val="none" w:sz="0" w:space="0" w:color="auto"/>
            <w:right w:val="none" w:sz="0" w:space="0" w:color="auto"/>
          </w:divBdr>
        </w:div>
        <w:div w:id="1449154127">
          <w:marLeft w:val="533"/>
          <w:marRight w:val="0"/>
          <w:marTop w:val="86"/>
          <w:marBottom w:val="0"/>
          <w:divBdr>
            <w:top w:val="none" w:sz="0" w:space="0" w:color="auto"/>
            <w:left w:val="none" w:sz="0" w:space="0" w:color="auto"/>
            <w:bottom w:val="none" w:sz="0" w:space="0" w:color="auto"/>
            <w:right w:val="none" w:sz="0" w:space="0" w:color="auto"/>
          </w:divBdr>
        </w:div>
      </w:divsChild>
    </w:div>
    <w:div w:id="802189554">
      <w:bodyDiv w:val="1"/>
      <w:marLeft w:val="0"/>
      <w:marRight w:val="0"/>
      <w:marTop w:val="0"/>
      <w:marBottom w:val="0"/>
      <w:divBdr>
        <w:top w:val="none" w:sz="0" w:space="0" w:color="auto"/>
        <w:left w:val="none" w:sz="0" w:space="0" w:color="auto"/>
        <w:bottom w:val="none" w:sz="0" w:space="0" w:color="auto"/>
        <w:right w:val="none" w:sz="0" w:space="0" w:color="auto"/>
      </w:divBdr>
    </w:div>
    <w:div w:id="973024344">
      <w:bodyDiv w:val="1"/>
      <w:marLeft w:val="0"/>
      <w:marRight w:val="0"/>
      <w:marTop w:val="0"/>
      <w:marBottom w:val="0"/>
      <w:divBdr>
        <w:top w:val="none" w:sz="0" w:space="0" w:color="auto"/>
        <w:left w:val="none" w:sz="0" w:space="0" w:color="auto"/>
        <w:bottom w:val="none" w:sz="0" w:space="0" w:color="auto"/>
        <w:right w:val="none" w:sz="0" w:space="0" w:color="auto"/>
      </w:divBdr>
    </w:div>
    <w:div w:id="992951496">
      <w:bodyDiv w:val="1"/>
      <w:marLeft w:val="0"/>
      <w:marRight w:val="0"/>
      <w:marTop w:val="0"/>
      <w:marBottom w:val="0"/>
      <w:divBdr>
        <w:top w:val="none" w:sz="0" w:space="0" w:color="auto"/>
        <w:left w:val="none" w:sz="0" w:space="0" w:color="auto"/>
        <w:bottom w:val="none" w:sz="0" w:space="0" w:color="auto"/>
        <w:right w:val="none" w:sz="0" w:space="0" w:color="auto"/>
      </w:divBdr>
    </w:div>
    <w:div w:id="1033504077">
      <w:bodyDiv w:val="1"/>
      <w:marLeft w:val="0"/>
      <w:marRight w:val="0"/>
      <w:marTop w:val="0"/>
      <w:marBottom w:val="0"/>
      <w:divBdr>
        <w:top w:val="none" w:sz="0" w:space="0" w:color="auto"/>
        <w:left w:val="none" w:sz="0" w:space="0" w:color="auto"/>
        <w:bottom w:val="none" w:sz="0" w:space="0" w:color="auto"/>
        <w:right w:val="none" w:sz="0" w:space="0" w:color="auto"/>
      </w:divBdr>
    </w:div>
    <w:div w:id="1247307282">
      <w:bodyDiv w:val="1"/>
      <w:marLeft w:val="0"/>
      <w:marRight w:val="0"/>
      <w:marTop w:val="0"/>
      <w:marBottom w:val="0"/>
      <w:divBdr>
        <w:top w:val="none" w:sz="0" w:space="0" w:color="auto"/>
        <w:left w:val="none" w:sz="0" w:space="0" w:color="auto"/>
        <w:bottom w:val="none" w:sz="0" w:space="0" w:color="auto"/>
        <w:right w:val="none" w:sz="0" w:space="0" w:color="auto"/>
      </w:divBdr>
    </w:div>
    <w:div w:id="1298413660">
      <w:bodyDiv w:val="1"/>
      <w:marLeft w:val="0"/>
      <w:marRight w:val="0"/>
      <w:marTop w:val="0"/>
      <w:marBottom w:val="0"/>
      <w:divBdr>
        <w:top w:val="none" w:sz="0" w:space="0" w:color="auto"/>
        <w:left w:val="none" w:sz="0" w:space="0" w:color="auto"/>
        <w:bottom w:val="none" w:sz="0" w:space="0" w:color="auto"/>
        <w:right w:val="none" w:sz="0" w:space="0" w:color="auto"/>
      </w:divBdr>
    </w:div>
    <w:div w:id="1403985413">
      <w:bodyDiv w:val="1"/>
      <w:marLeft w:val="0"/>
      <w:marRight w:val="0"/>
      <w:marTop w:val="0"/>
      <w:marBottom w:val="0"/>
      <w:divBdr>
        <w:top w:val="none" w:sz="0" w:space="0" w:color="auto"/>
        <w:left w:val="none" w:sz="0" w:space="0" w:color="auto"/>
        <w:bottom w:val="none" w:sz="0" w:space="0" w:color="auto"/>
        <w:right w:val="none" w:sz="0" w:space="0" w:color="auto"/>
      </w:divBdr>
    </w:div>
    <w:div w:id="1423260573">
      <w:bodyDiv w:val="1"/>
      <w:marLeft w:val="0"/>
      <w:marRight w:val="0"/>
      <w:marTop w:val="0"/>
      <w:marBottom w:val="0"/>
      <w:divBdr>
        <w:top w:val="none" w:sz="0" w:space="0" w:color="auto"/>
        <w:left w:val="none" w:sz="0" w:space="0" w:color="auto"/>
        <w:bottom w:val="none" w:sz="0" w:space="0" w:color="auto"/>
        <w:right w:val="none" w:sz="0" w:space="0" w:color="auto"/>
      </w:divBdr>
    </w:div>
    <w:div w:id="1597637982">
      <w:bodyDiv w:val="1"/>
      <w:marLeft w:val="0"/>
      <w:marRight w:val="0"/>
      <w:marTop w:val="0"/>
      <w:marBottom w:val="0"/>
      <w:divBdr>
        <w:top w:val="none" w:sz="0" w:space="0" w:color="auto"/>
        <w:left w:val="none" w:sz="0" w:space="0" w:color="auto"/>
        <w:bottom w:val="none" w:sz="0" w:space="0" w:color="auto"/>
        <w:right w:val="none" w:sz="0" w:space="0" w:color="auto"/>
      </w:divBdr>
    </w:div>
    <w:div w:id="1735229432">
      <w:bodyDiv w:val="1"/>
      <w:marLeft w:val="0"/>
      <w:marRight w:val="0"/>
      <w:marTop w:val="0"/>
      <w:marBottom w:val="0"/>
      <w:divBdr>
        <w:top w:val="none" w:sz="0" w:space="0" w:color="auto"/>
        <w:left w:val="none" w:sz="0" w:space="0" w:color="auto"/>
        <w:bottom w:val="none" w:sz="0" w:space="0" w:color="auto"/>
        <w:right w:val="none" w:sz="0" w:space="0" w:color="auto"/>
      </w:divBdr>
    </w:div>
    <w:div w:id="1760909266">
      <w:bodyDiv w:val="1"/>
      <w:marLeft w:val="0"/>
      <w:marRight w:val="0"/>
      <w:marTop w:val="0"/>
      <w:marBottom w:val="0"/>
      <w:divBdr>
        <w:top w:val="none" w:sz="0" w:space="0" w:color="auto"/>
        <w:left w:val="none" w:sz="0" w:space="0" w:color="auto"/>
        <w:bottom w:val="none" w:sz="0" w:space="0" w:color="auto"/>
        <w:right w:val="none" w:sz="0" w:space="0" w:color="auto"/>
      </w:divBdr>
    </w:div>
    <w:div w:id="1786315206">
      <w:bodyDiv w:val="1"/>
      <w:marLeft w:val="0"/>
      <w:marRight w:val="0"/>
      <w:marTop w:val="0"/>
      <w:marBottom w:val="0"/>
      <w:divBdr>
        <w:top w:val="none" w:sz="0" w:space="0" w:color="auto"/>
        <w:left w:val="none" w:sz="0" w:space="0" w:color="auto"/>
        <w:bottom w:val="none" w:sz="0" w:space="0" w:color="auto"/>
        <w:right w:val="none" w:sz="0" w:space="0" w:color="auto"/>
      </w:divBdr>
    </w:div>
    <w:div w:id="1936549830">
      <w:bodyDiv w:val="1"/>
      <w:marLeft w:val="0"/>
      <w:marRight w:val="0"/>
      <w:marTop w:val="0"/>
      <w:marBottom w:val="0"/>
      <w:divBdr>
        <w:top w:val="none" w:sz="0" w:space="0" w:color="auto"/>
        <w:left w:val="none" w:sz="0" w:space="0" w:color="auto"/>
        <w:bottom w:val="none" w:sz="0" w:space="0" w:color="auto"/>
        <w:right w:val="none" w:sz="0" w:space="0" w:color="auto"/>
      </w:divBdr>
    </w:div>
    <w:div w:id="1973320405">
      <w:bodyDiv w:val="1"/>
      <w:marLeft w:val="0"/>
      <w:marRight w:val="0"/>
      <w:marTop w:val="0"/>
      <w:marBottom w:val="0"/>
      <w:divBdr>
        <w:top w:val="none" w:sz="0" w:space="0" w:color="auto"/>
        <w:left w:val="none" w:sz="0" w:space="0" w:color="auto"/>
        <w:bottom w:val="none" w:sz="0" w:space="0" w:color="auto"/>
        <w:right w:val="none" w:sz="0" w:space="0" w:color="auto"/>
      </w:divBdr>
    </w:div>
    <w:div w:id="2068214672">
      <w:bodyDiv w:val="1"/>
      <w:marLeft w:val="0"/>
      <w:marRight w:val="0"/>
      <w:marTop w:val="0"/>
      <w:marBottom w:val="0"/>
      <w:divBdr>
        <w:top w:val="none" w:sz="0" w:space="0" w:color="auto"/>
        <w:left w:val="none" w:sz="0" w:space="0" w:color="auto"/>
        <w:bottom w:val="none" w:sz="0" w:space="0" w:color="auto"/>
        <w:right w:val="none" w:sz="0" w:space="0" w:color="auto"/>
      </w:divBdr>
      <w:divsChild>
        <w:div w:id="1090196554">
          <w:marLeft w:val="0"/>
          <w:marRight w:val="0"/>
          <w:marTop w:val="0"/>
          <w:marBottom w:val="0"/>
          <w:divBdr>
            <w:top w:val="none" w:sz="0" w:space="0" w:color="auto"/>
            <w:left w:val="none" w:sz="0" w:space="0" w:color="auto"/>
            <w:bottom w:val="none" w:sz="0" w:space="0" w:color="auto"/>
            <w:right w:val="none" w:sz="0" w:space="0" w:color="auto"/>
          </w:divBdr>
          <w:divsChild>
            <w:div w:id="202446461">
              <w:marLeft w:val="-225"/>
              <w:marRight w:val="-225"/>
              <w:marTop w:val="0"/>
              <w:marBottom w:val="0"/>
              <w:divBdr>
                <w:top w:val="none" w:sz="0" w:space="0" w:color="auto"/>
                <w:left w:val="none" w:sz="0" w:space="0" w:color="auto"/>
                <w:bottom w:val="none" w:sz="0" w:space="0" w:color="auto"/>
                <w:right w:val="none" w:sz="0" w:space="0" w:color="auto"/>
              </w:divBdr>
              <w:divsChild>
                <w:div w:id="420368877">
                  <w:marLeft w:val="0"/>
                  <w:marRight w:val="0"/>
                  <w:marTop w:val="0"/>
                  <w:marBottom w:val="0"/>
                  <w:divBdr>
                    <w:top w:val="none" w:sz="0" w:space="0" w:color="auto"/>
                    <w:left w:val="none" w:sz="0" w:space="0" w:color="auto"/>
                    <w:bottom w:val="none" w:sz="0" w:space="0" w:color="auto"/>
                    <w:right w:val="none" w:sz="0" w:space="0" w:color="auto"/>
                  </w:divBdr>
                  <w:divsChild>
                    <w:div w:id="154733289">
                      <w:marLeft w:val="0"/>
                      <w:marRight w:val="0"/>
                      <w:marTop w:val="0"/>
                      <w:marBottom w:val="0"/>
                      <w:divBdr>
                        <w:top w:val="none" w:sz="0" w:space="0" w:color="auto"/>
                        <w:left w:val="none" w:sz="0" w:space="0" w:color="auto"/>
                        <w:bottom w:val="none" w:sz="0" w:space="0" w:color="auto"/>
                        <w:right w:val="none" w:sz="0" w:space="0" w:color="auto"/>
                      </w:divBdr>
                      <w:divsChild>
                        <w:div w:id="1657689227">
                          <w:marLeft w:val="0"/>
                          <w:marRight w:val="0"/>
                          <w:marTop w:val="0"/>
                          <w:marBottom w:val="0"/>
                          <w:divBdr>
                            <w:top w:val="none" w:sz="0" w:space="0" w:color="auto"/>
                            <w:left w:val="none" w:sz="0" w:space="0" w:color="auto"/>
                            <w:bottom w:val="none" w:sz="0" w:space="0" w:color="auto"/>
                            <w:right w:val="none" w:sz="0" w:space="0" w:color="auto"/>
                          </w:divBdr>
                          <w:divsChild>
                            <w:div w:id="1059131706">
                              <w:marLeft w:val="0"/>
                              <w:marRight w:val="0"/>
                              <w:marTop w:val="0"/>
                              <w:marBottom w:val="0"/>
                              <w:divBdr>
                                <w:top w:val="none" w:sz="0" w:space="0" w:color="auto"/>
                                <w:left w:val="none" w:sz="0" w:space="0" w:color="auto"/>
                                <w:bottom w:val="none" w:sz="0" w:space="0" w:color="auto"/>
                                <w:right w:val="none" w:sz="0" w:space="0" w:color="auto"/>
                              </w:divBdr>
                              <w:divsChild>
                                <w:div w:id="754472334">
                                  <w:marLeft w:val="0"/>
                                  <w:marRight w:val="0"/>
                                  <w:marTop w:val="0"/>
                                  <w:marBottom w:val="0"/>
                                  <w:divBdr>
                                    <w:top w:val="none" w:sz="0" w:space="0" w:color="auto"/>
                                    <w:left w:val="none" w:sz="0" w:space="0" w:color="auto"/>
                                    <w:bottom w:val="none" w:sz="0" w:space="0" w:color="auto"/>
                                    <w:right w:val="none" w:sz="0" w:space="0" w:color="auto"/>
                                  </w:divBdr>
                                  <w:divsChild>
                                    <w:div w:id="2089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PI PPT">
      <a:dk1>
        <a:srgbClr val="000000"/>
      </a:dk1>
      <a:lt1>
        <a:srgbClr val="FFFFFF"/>
      </a:lt1>
      <a:dk2>
        <a:srgbClr val="C5C7C8"/>
      </a:dk2>
      <a:lt2>
        <a:srgbClr val="FFFFFF"/>
      </a:lt2>
      <a:accent1>
        <a:srgbClr val="FFCD00"/>
      </a:accent1>
      <a:accent2>
        <a:srgbClr val="786E64"/>
      </a:accent2>
      <a:accent3>
        <a:srgbClr val="C83764"/>
      </a:accent3>
      <a:accent4>
        <a:srgbClr val="FFA000"/>
      </a:accent4>
      <a:accent5>
        <a:srgbClr val="AF282D"/>
      </a:accent5>
      <a:accent6>
        <a:srgbClr val="EB7800"/>
      </a:accent6>
      <a:hlink>
        <a:srgbClr val="000000"/>
      </a:hlink>
      <a:folHlink>
        <a:srgbClr val="000000"/>
      </a:folHlink>
    </a:clrScheme>
    <a:fontScheme name="BPI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C064-495B-4C84-AD71-8FD1B3E9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2026</Words>
  <Characters>11143</Characters>
  <Application>Microsoft Office Word</Application>
  <DocSecurity>4</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Bpifrance</vt:lpstr>
      <vt:lpstr>Bpifrance</vt:lpstr>
    </vt:vector>
  </TitlesOfParts>
  <Company>D</Company>
  <LinksUpToDate>false</LinksUpToDate>
  <CharactersWithSpaces>13143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Bpifrance</dc:title>
  <dc:subject>Bpifrance</dc:subject>
  <dc:creator>Thornary, Baptiste</dc:creator>
  <cp:lastModifiedBy>Lola MERVEILLE</cp:lastModifiedBy>
  <cp:revision>2</cp:revision>
  <cp:lastPrinted>2016-08-22T15:54:00Z</cp:lastPrinted>
  <dcterms:created xsi:type="dcterms:W3CDTF">2017-01-26T17:51:00Z</dcterms:created>
  <dcterms:modified xsi:type="dcterms:W3CDTF">2017-01-26T17:51:00Z</dcterms:modified>
</cp:coreProperties>
</file>